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rPr>
          <w:i/>
        </w:rPr>
      </w:pPr>
    </w:p>
    <w:p>
      <w:pPr>
        <w:spacing w:line="500" w:lineRule="exact"/>
        <w:rPr>
          <w:i/>
        </w:rPr>
      </w:pPr>
    </w:p>
    <w:p>
      <w:pPr>
        <w:spacing w:line="500" w:lineRule="exact"/>
        <w:rPr>
          <w:i/>
        </w:rPr>
      </w:pPr>
    </w:p>
    <w:p>
      <w:pPr>
        <w:pStyle w:val="34"/>
        <w:rPr>
          <w:i/>
        </w:rPr>
      </w:pPr>
    </w:p>
    <w:p>
      <w:pPr>
        <w:rPr>
          <w:i/>
        </w:rPr>
      </w:pPr>
    </w:p>
    <w:p>
      <w:pPr>
        <w:spacing w:line="240" w:lineRule="atLeast"/>
        <w:ind w:right="-57" w:rightChars="-27"/>
        <w:rPr>
          <w:rFonts w:ascii="华文中宋" w:hAnsi="华文中宋" w:eastAsia="华文中宋" w:cs="黑体"/>
          <w:sz w:val="52"/>
          <w:szCs w:val="52"/>
        </w:rPr>
      </w:pPr>
    </w:p>
    <w:p>
      <w:pPr>
        <w:spacing w:line="240" w:lineRule="atLeast"/>
        <w:ind w:right="-57" w:rightChars="-27"/>
        <w:jc w:val="center"/>
        <w:rPr>
          <w:rFonts w:ascii="华文中宋" w:hAnsi="华文中宋" w:eastAsia="华文中宋" w:cs="黑体"/>
          <w:sz w:val="52"/>
          <w:szCs w:val="52"/>
        </w:rPr>
      </w:pPr>
      <w:r>
        <w:rPr>
          <w:rFonts w:hint="eastAsia" w:ascii="华文中宋" w:hAnsi="华文中宋" w:eastAsia="华文中宋" w:cs="黑体"/>
          <w:sz w:val="52"/>
          <w:szCs w:val="52"/>
        </w:rPr>
        <w:t>周口店中心校(娄子水小学)搬迁新楼所需设备</w:t>
      </w:r>
    </w:p>
    <w:p>
      <w:pPr>
        <w:spacing w:line="240" w:lineRule="atLeast"/>
        <w:ind w:right="-57" w:rightChars="-27"/>
        <w:jc w:val="center"/>
        <w:rPr>
          <w:rFonts w:ascii="华文中宋" w:hAnsi="华文中宋" w:eastAsia="华文中宋" w:cs="黑体"/>
          <w:sz w:val="52"/>
          <w:szCs w:val="52"/>
        </w:rPr>
      </w:pPr>
    </w:p>
    <w:p>
      <w:pPr>
        <w:spacing w:line="240" w:lineRule="atLeast"/>
        <w:ind w:right="-57" w:rightChars="-27"/>
        <w:rPr>
          <w:rFonts w:ascii="华文中宋" w:hAnsi="华文中宋" w:eastAsia="华文中宋" w:cs="黑体"/>
          <w:sz w:val="52"/>
          <w:szCs w:val="52"/>
        </w:rPr>
      </w:pPr>
    </w:p>
    <w:p>
      <w:pPr>
        <w:pStyle w:val="34"/>
      </w:pPr>
    </w:p>
    <w:p>
      <w:pPr>
        <w:spacing w:line="240" w:lineRule="atLeast"/>
        <w:ind w:right="-57" w:rightChars="-27"/>
        <w:jc w:val="center"/>
        <w:rPr>
          <w:rFonts w:ascii="华文中宋" w:hAnsi="华文中宋" w:eastAsia="华文中宋" w:cs="黑体"/>
          <w:sz w:val="84"/>
          <w:szCs w:val="84"/>
        </w:rPr>
      </w:pPr>
      <w:r>
        <w:rPr>
          <w:rFonts w:hint="eastAsia" w:ascii="华文中宋" w:hAnsi="华文中宋" w:eastAsia="华文中宋" w:cs="黑体"/>
          <w:sz w:val="84"/>
          <w:szCs w:val="84"/>
        </w:rPr>
        <w:t>竞争性磋商文件</w:t>
      </w:r>
    </w:p>
    <w:p>
      <w:pPr>
        <w:spacing w:line="240" w:lineRule="atLeast"/>
        <w:ind w:right="-57" w:rightChars="-27"/>
        <w:jc w:val="center"/>
        <w:rPr>
          <w:rFonts w:ascii="华文中宋" w:hAnsi="华文中宋" w:eastAsia="华文中宋" w:cs="黑体"/>
          <w:sz w:val="52"/>
          <w:szCs w:val="52"/>
        </w:rPr>
      </w:pPr>
    </w:p>
    <w:p>
      <w:pPr>
        <w:spacing w:line="480" w:lineRule="auto"/>
        <w:ind w:right="-57" w:rightChars="-27" w:firstLine="1084" w:firstLineChars="300"/>
        <w:rPr>
          <w:rFonts w:eastAsia="黑体"/>
          <w:b/>
          <w:sz w:val="36"/>
          <w:szCs w:val="36"/>
        </w:rPr>
      </w:pPr>
    </w:p>
    <w:p>
      <w:pPr>
        <w:spacing w:line="480" w:lineRule="auto"/>
        <w:ind w:right="-57" w:rightChars="-27" w:firstLine="1084" w:firstLineChars="300"/>
        <w:rPr>
          <w:rFonts w:eastAsia="黑体"/>
          <w:b/>
          <w:sz w:val="36"/>
          <w:szCs w:val="36"/>
        </w:rPr>
      </w:pPr>
    </w:p>
    <w:p>
      <w:pPr>
        <w:spacing w:line="480" w:lineRule="auto"/>
        <w:ind w:right="-57" w:rightChars="-27" w:firstLine="1084" w:firstLineChars="300"/>
        <w:rPr>
          <w:rFonts w:eastAsia="黑体"/>
          <w:b/>
          <w:sz w:val="36"/>
          <w:szCs w:val="36"/>
        </w:rPr>
      </w:pPr>
      <w:r>
        <w:rPr>
          <w:rFonts w:eastAsia="黑体"/>
          <w:b/>
          <w:sz w:val="36"/>
          <w:szCs w:val="36"/>
        </w:rPr>
        <w:t>项目编号：</w:t>
      </w:r>
      <w:r>
        <w:rPr>
          <w:rFonts w:hint="eastAsia" w:eastAsia="黑体"/>
          <w:b/>
          <w:sz w:val="36"/>
          <w:szCs w:val="36"/>
        </w:rPr>
        <w:t>BIECC-23ZB0347</w:t>
      </w:r>
    </w:p>
    <w:p>
      <w:pPr>
        <w:spacing w:line="480" w:lineRule="auto"/>
        <w:ind w:right="-57" w:rightChars="-27" w:firstLine="1084" w:firstLineChars="300"/>
        <w:rPr>
          <w:rFonts w:eastAsia="黑体"/>
          <w:b/>
          <w:sz w:val="36"/>
          <w:szCs w:val="36"/>
        </w:rPr>
      </w:pPr>
      <w:r>
        <w:rPr>
          <w:rFonts w:eastAsia="黑体"/>
          <w:b/>
          <w:sz w:val="36"/>
          <w:szCs w:val="36"/>
        </w:rPr>
        <w:t>采购人</w:t>
      </w:r>
      <w:r>
        <w:rPr>
          <w:rFonts w:hint="eastAsia" w:eastAsia="黑体"/>
          <w:b/>
          <w:sz w:val="36"/>
          <w:szCs w:val="36"/>
        </w:rPr>
        <w:t>：北京市房山区教育委员会</w:t>
      </w:r>
    </w:p>
    <w:p>
      <w:pPr>
        <w:spacing w:line="480" w:lineRule="auto"/>
        <w:ind w:right="-57" w:rightChars="-27" w:firstLine="1084" w:firstLineChars="300"/>
        <w:rPr>
          <w:rFonts w:eastAsia="黑体"/>
          <w:b/>
          <w:sz w:val="36"/>
          <w:szCs w:val="36"/>
        </w:rPr>
      </w:pPr>
      <w:r>
        <w:rPr>
          <w:rFonts w:eastAsia="黑体"/>
          <w:b/>
          <w:sz w:val="36"/>
          <w:szCs w:val="36"/>
        </w:rPr>
        <w:t>采购代理机构</w:t>
      </w:r>
      <w:r>
        <w:rPr>
          <w:rFonts w:hint="eastAsia" w:eastAsia="黑体"/>
          <w:b/>
          <w:sz w:val="36"/>
          <w:szCs w:val="36"/>
        </w:rPr>
        <w:t>：北京国际工程咨询有限公司</w:t>
      </w:r>
    </w:p>
    <w:p>
      <w:pPr>
        <w:spacing w:line="240" w:lineRule="atLeast"/>
        <w:ind w:right="-57" w:rightChars="-27"/>
        <w:jc w:val="center"/>
        <w:rPr>
          <w:sz w:val="32"/>
          <w:szCs w:val="32"/>
        </w:rPr>
      </w:pPr>
    </w:p>
    <w:p>
      <w:pPr>
        <w:spacing w:line="240" w:lineRule="atLeast"/>
        <w:ind w:right="-57" w:rightChars="-27"/>
        <w:jc w:val="center"/>
        <w:rPr>
          <w:sz w:val="32"/>
          <w:szCs w:val="32"/>
        </w:rPr>
      </w:pPr>
    </w:p>
    <w:p>
      <w:pPr>
        <w:spacing w:line="240" w:lineRule="atLeast"/>
        <w:ind w:right="-57" w:rightChars="-27"/>
        <w:jc w:val="center"/>
        <w:rPr>
          <w:sz w:val="32"/>
          <w:szCs w:val="32"/>
        </w:rPr>
        <w:sectPr>
          <w:headerReference r:id="rId3" w:type="first"/>
          <w:type w:val="nextColumn"/>
          <w:pgSz w:w="11907" w:h="16840"/>
          <w:pgMar w:top="1418" w:right="1134" w:bottom="1418" w:left="1701" w:header="851" w:footer="851" w:gutter="0"/>
          <w:pgNumType w:start="0"/>
          <w:cols w:space="720" w:num="1"/>
          <w:titlePg/>
          <w:docGrid w:linePitch="462" w:charSpace="0"/>
        </w:sectPr>
      </w:pPr>
    </w:p>
    <w:p>
      <w:pPr>
        <w:pStyle w:val="183"/>
        <w:spacing w:line="360" w:lineRule="auto"/>
        <w:rPr>
          <w:rFonts w:ascii="Times New Roman" w:hAnsi="Times New Roman" w:cs="Times New Roman"/>
        </w:rPr>
      </w:pPr>
    </w:p>
    <w:p>
      <w:pPr>
        <w:spacing w:line="360" w:lineRule="auto"/>
        <w:jc w:val="center"/>
        <w:outlineLvl w:val="0"/>
        <w:rPr>
          <w:b/>
          <w:sz w:val="36"/>
          <w:szCs w:val="36"/>
        </w:rPr>
      </w:pPr>
      <w:bookmarkStart w:id="0" w:name="_Toc8088"/>
      <w:r>
        <w:rPr>
          <w:rFonts w:hint="eastAsia"/>
          <w:b/>
          <w:sz w:val="36"/>
          <w:szCs w:val="36"/>
        </w:rPr>
        <w:t>目</w:t>
      </w:r>
      <w:r>
        <w:rPr>
          <w:b/>
          <w:sz w:val="36"/>
          <w:szCs w:val="36"/>
        </w:rPr>
        <w:t xml:space="preserve">      </w:t>
      </w:r>
      <w:r>
        <w:rPr>
          <w:rFonts w:hint="eastAsia"/>
          <w:b/>
          <w:sz w:val="36"/>
          <w:szCs w:val="36"/>
        </w:rPr>
        <w:t>录</w:t>
      </w:r>
      <w:bookmarkEnd w:id="0"/>
    </w:p>
    <w:p/>
    <w:p/>
    <w:p/>
    <w:p/>
    <w:p>
      <w:pPr>
        <w:pStyle w:val="30"/>
        <w:tabs>
          <w:tab w:val="right" w:leader="dot" w:pos="9072"/>
          <w:tab w:val="clear" w:pos="1050"/>
          <w:tab w:val="clear" w:pos="8937"/>
        </w:tabs>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"_Toc204" </w:instrText>
      </w:r>
      <w:r>
        <w:fldChar w:fldCharType="separate"/>
      </w:r>
      <w:r>
        <w:rPr>
          <w:szCs w:val="36"/>
        </w:rPr>
        <w:t>第一章   采购邀请</w:t>
      </w:r>
      <w:r>
        <w:tab/>
      </w:r>
      <w:r>
        <w:fldChar w:fldCharType="begin"/>
      </w:r>
      <w:r>
        <w:instrText xml:space="preserve"> PAGEREF _Toc204 \h </w:instrText>
      </w:r>
      <w:r>
        <w:fldChar w:fldCharType="separate"/>
      </w:r>
      <w:r>
        <w:t>1</w:t>
      </w:r>
      <w:r>
        <w:fldChar w:fldCharType="end"/>
      </w:r>
      <w:r>
        <w:fldChar w:fldCharType="end"/>
      </w:r>
    </w:p>
    <w:p>
      <w:pPr>
        <w:pStyle w:val="30"/>
        <w:tabs>
          <w:tab w:val="right" w:leader="dot" w:pos="9072"/>
          <w:tab w:val="clear" w:pos="1050"/>
          <w:tab w:val="clear" w:pos="8937"/>
        </w:tabs>
      </w:pPr>
      <w:r>
        <w:fldChar w:fldCharType="begin"/>
      </w:r>
      <w:r>
        <w:instrText xml:space="preserve"> HYPERLINK \l "_Toc4457" </w:instrText>
      </w:r>
      <w:r>
        <w:fldChar w:fldCharType="separate"/>
      </w:r>
      <w:r>
        <w:rPr>
          <w:szCs w:val="36"/>
        </w:rPr>
        <w:t>第二章   供应商须知</w:t>
      </w:r>
      <w:r>
        <w:tab/>
      </w:r>
      <w:r>
        <w:fldChar w:fldCharType="begin"/>
      </w:r>
      <w:r>
        <w:instrText xml:space="preserve"> PAGEREF _Toc4457 \h </w:instrText>
      </w:r>
      <w:r>
        <w:fldChar w:fldCharType="separate"/>
      </w:r>
      <w:r>
        <w:t>6</w:t>
      </w:r>
      <w:r>
        <w:fldChar w:fldCharType="end"/>
      </w:r>
      <w:r>
        <w:fldChar w:fldCharType="end"/>
      </w:r>
    </w:p>
    <w:p>
      <w:pPr>
        <w:pStyle w:val="30"/>
        <w:tabs>
          <w:tab w:val="right" w:leader="dot" w:pos="9072"/>
          <w:tab w:val="clear" w:pos="1050"/>
          <w:tab w:val="clear" w:pos="8937"/>
        </w:tabs>
      </w:pPr>
      <w:r>
        <w:fldChar w:fldCharType="begin"/>
      </w:r>
      <w:r>
        <w:instrText xml:space="preserve"> HYPERLINK \l "_Toc24343" </w:instrText>
      </w:r>
      <w:r>
        <w:fldChar w:fldCharType="separate"/>
      </w:r>
      <w:r>
        <w:rPr>
          <w:szCs w:val="36"/>
        </w:rPr>
        <w:t>第三章   评审方法和评审标准</w:t>
      </w:r>
      <w:r>
        <w:tab/>
      </w:r>
      <w:r>
        <w:fldChar w:fldCharType="begin"/>
      </w:r>
      <w:r>
        <w:instrText xml:space="preserve"> PAGEREF _Toc24343 \h </w:instrText>
      </w:r>
      <w:r>
        <w:fldChar w:fldCharType="separate"/>
      </w:r>
      <w:r>
        <w:t>22</w:t>
      </w:r>
      <w:r>
        <w:fldChar w:fldCharType="end"/>
      </w:r>
      <w:r>
        <w:fldChar w:fldCharType="end"/>
      </w:r>
    </w:p>
    <w:p>
      <w:pPr>
        <w:pStyle w:val="30"/>
        <w:tabs>
          <w:tab w:val="right" w:leader="dot" w:pos="9072"/>
          <w:tab w:val="clear" w:pos="1050"/>
          <w:tab w:val="clear" w:pos="8937"/>
        </w:tabs>
      </w:pPr>
      <w:r>
        <w:fldChar w:fldCharType="begin"/>
      </w:r>
      <w:r>
        <w:instrText xml:space="preserve"> HYPERLINK \l "_Toc25327" </w:instrText>
      </w:r>
      <w:r>
        <w:fldChar w:fldCharType="separate"/>
      </w:r>
      <w:r>
        <w:rPr>
          <w:szCs w:val="36"/>
        </w:rPr>
        <w:t>第四章   采购需求</w:t>
      </w:r>
      <w:bookmarkStart w:id="1" w:name="_Hlt137816012"/>
      <w:bookmarkStart w:id="2" w:name="_Hlt137731953"/>
      <w:bookmarkStart w:id="3" w:name="_Hlt137731952"/>
      <w:bookmarkStart w:id="4" w:name="_Hlt137816013"/>
      <w:r>
        <w:tab/>
      </w:r>
      <w:bookmarkEnd w:id="1"/>
      <w:bookmarkEnd w:id="2"/>
      <w:bookmarkEnd w:id="3"/>
      <w:bookmarkEnd w:id="4"/>
      <w:r>
        <w:fldChar w:fldCharType="begin"/>
      </w:r>
      <w:r>
        <w:instrText xml:space="preserve"> PAGEREF _Toc25327 \h </w:instrText>
      </w:r>
      <w:r>
        <w:fldChar w:fldCharType="separate"/>
      </w:r>
      <w:r>
        <w:t>34</w:t>
      </w:r>
      <w:r>
        <w:fldChar w:fldCharType="end"/>
      </w:r>
      <w:r>
        <w:fldChar w:fldCharType="end"/>
      </w:r>
    </w:p>
    <w:p>
      <w:pPr>
        <w:pStyle w:val="30"/>
        <w:tabs>
          <w:tab w:val="right" w:leader="dot" w:pos="9072"/>
          <w:tab w:val="clear" w:pos="1050"/>
          <w:tab w:val="clear" w:pos="8937"/>
        </w:tabs>
      </w:pPr>
      <w:r>
        <w:fldChar w:fldCharType="begin"/>
      </w:r>
      <w:r>
        <w:instrText xml:space="preserve"> HYPERLINK \l "_Toc3693" </w:instrText>
      </w:r>
      <w:r>
        <w:fldChar w:fldCharType="separate"/>
      </w:r>
      <w:r>
        <w:rPr>
          <w:szCs w:val="36"/>
        </w:rPr>
        <w:t>第五章   合同草案条款</w:t>
      </w:r>
      <w:r>
        <w:tab/>
      </w:r>
      <w:r>
        <w:fldChar w:fldCharType="begin"/>
      </w:r>
      <w:r>
        <w:instrText xml:space="preserve"> PAGEREF _Toc3693 \h </w:instrText>
      </w:r>
      <w:r>
        <w:fldChar w:fldCharType="separate"/>
      </w:r>
      <w:r>
        <w:t>34</w:t>
      </w:r>
      <w:r>
        <w:fldChar w:fldCharType="end"/>
      </w:r>
      <w:r>
        <w:fldChar w:fldCharType="end"/>
      </w:r>
    </w:p>
    <w:p>
      <w:pPr>
        <w:pStyle w:val="30"/>
        <w:tabs>
          <w:tab w:val="right" w:leader="dot" w:pos="9072"/>
          <w:tab w:val="clear" w:pos="1050"/>
          <w:tab w:val="clear" w:pos="8937"/>
        </w:tabs>
      </w:pPr>
      <w:r>
        <w:fldChar w:fldCharType="begin"/>
      </w:r>
      <w:r>
        <w:instrText xml:space="preserve"> HYPERLINK \l "_Toc24830" </w:instrText>
      </w:r>
      <w:r>
        <w:fldChar w:fldCharType="separate"/>
      </w:r>
      <w:r>
        <w:rPr>
          <w:szCs w:val="36"/>
        </w:rPr>
        <w:t>第六章   响应文件格式</w:t>
      </w:r>
      <w:r>
        <w:tab/>
      </w:r>
      <w:r>
        <w:fldChar w:fldCharType="begin"/>
      </w:r>
      <w:r>
        <w:instrText xml:space="preserve"> PAGEREF _Toc24830 \h </w:instrText>
      </w:r>
      <w:r>
        <w:fldChar w:fldCharType="separate"/>
      </w:r>
      <w:r>
        <w:t>69</w:t>
      </w:r>
      <w:r>
        <w:fldChar w:fldCharType="end"/>
      </w:r>
      <w:r>
        <w:fldChar w:fldCharType="end"/>
      </w:r>
    </w:p>
    <w:p>
      <w:pPr>
        <w:pStyle w:val="30"/>
        <w:spacing w:line="360" w:lineRule="auto"/>
        <w:rPr>
          <w:rFonts w:ascii="Times New Roman" w:hAnsi="Times New Roman"/>
          <w:b w:val="0"/>
        </w:rPr>
      </w:pPr>
      <w:r>
        <w:rPr>
          <w:rFonts w:ascii="Times New Roman" w:hAnsi="Times New Roman"/>
        </w:rPr>
        <w:fldChar w:fldCharType="end"/>
      </w:r>
    </w:p>
    <w:p>
      <w:pPr>
        <w:pStyle w:val="30"/>
        <w:spacing w:line="360" w:lineRule="auto"/>
        <w:rPr>
          <w:b w:val="0"/>
          <w:sz w:val="36"/>
          <w:szCs w:val="36"/>
        </w:rPr>
      </w:pPr>
    </w:p>
    <w:p>
      <w:pPr>
        <w:spacing w:line="360" w:lineRule="auto"/>
        <w:jc w:val="center"/>
        <w:outlineLvl w:val="0"/>
        <w:rPr>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b/>
          <w:sz w:val="36"/>
          <w:szCs w:val="36"/>
        </w:rPr>
      </w:pPr>
      <w:bookmarkStart w:id="5" w:name="_Toc204"/>
      <w:r>
        <w:rPr>
          <w:b/>
          <w:sz w:val="36"/>
          <w:szCs w:val="36"/>
        </w:rPr>
        <w:t>第一章   采购邀请</w:t>
      </w:r>
      <w:bookmarkEnd w:id="5"/>
      <w:bookmarkStart w:id="6" w:name="_Toc28359079"/>
      <w:bookmarkStart w:id="7" w:name="_Toc35393790"/>
      <w:bookmarkStart w:id="8" w:name="_Toc35393621"/>
      <w:bookmarkStart w:id="9" w:name="_Toc28359002"/>
      <w:bookmarkStart w:id="10" w:name="_Hlk24379207"/>
    </w:p>
    <w:p>
      <w:pPr>
        <w:spacing w:line="360" w:lineRule="auto"/>
        <w:ind w:firstLine="480" w:firstLineChars="200"/>
        <w:rPr>
          <w:sz w:val="24"/>
        </w:rPr>
      </w:pPr>
    </w:p>
    <w:p>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6"/>
      <w:bookmarkEnd w:id="7"/>
      <w:bookmarkEnd w:id="8"/>
      <w:bookmarkEnd w:id="9"/>
    </w:p>
    <w:p>
      <w:pPr>
        <w:spacing w:line="360" w:lineRule="auto"/>
        <w:ind w:firstLine="480" w:firstLineChars="200"/>
        <w:rPr>
          <w:sz w:val="24"/>
        </w:rPr>
      </w:pPr>
      <w:r>
        <w:rPr>
          <w:sz w:val="24"/>
        </w:rPr>
        <w:t>1.项目编号/包号：</w:t>
      </w:r>
      <w:r>
        <w:rPr>
          <w:rFonts w:hint="eastAsia"/>
          <w:sz w:val="24"/>
          <w:u w:val="single"/>
        </w:rPr>
        <w:t>BIECC-23ZB0347</w:t>
      </w:r>
    </w:p>
    <w:p>
      <w:pPr>
        <w:spacing w:line="360" w:lineRule="auto"/>
        <w:ind w:firstLine="480" w:firstLineChars="200"/>
        <w:rPr>
          <w:sz w:val="24"/>
        </w:rPr>
      </w:pPr>
      <w:r>
        <w:rPr>
          <w:sz w:val="24"/>
        </w:rPr>
        <w:t>2.项目名称：</w:t>
      </w:r>
      <w:r>
        <w:rPr>
          <w:rFonts w:hint="eastAsia"/>
          <w:sz w:val="24"/>
          <w:u w:val="single"/>
        </w:rPr>
        <w:t>周口店中心校(娄子水小学)搬迁新楼所需设备</w:t>
      </w:r>
    </w:p>
    <w:p>
      <w:pPr>
        <w:spacing w:line="360" w:lineRule="auto"/>
        <w:ind w:firstLine="480" w:firstLineChars="200"/>
        <w:rPr>
          <w:sz w:val="24"/>
        </w:rPr>
      </w:pPr>
      <w:r>
        <w:rPr>
          <w:sz w:val="24"/>
        </w:rPr>
        <w:t>3.采购方式：</w:t>
      </w:r>
      <w:r>
        <w:rPr>
          <w:sz w:val="24"/>
          <w:u w:val="single"/>
        </w:rPr>
        <w:t>竞争性磋商</w:t>
      </w:r>
    </w:p>
    <w:bookmarkEnd w:id="10"/>
    <w:p>
      <w:pPr>
        <w:spacing w:line="360" w:lineRule="auto"/>
        <w:ind w:firstLine="480" w:firstLineChars="200"/>
        <w:rPr>
          <w:sz w:val="24"/>
        </w:rPr>
      </w:pPr>
      <w:r>
        <w:rPr>
          <w:sz w:val="24"/>
        </w:rPr>
        <w:t>4.项目预算金额：</w:t>
      </w:r>
      <w:r>
        <w:rPr>
          <w:sz w:val="24"/>
          <w:u w:val="single"/>
        </w:rPr>
        <w:t>81.91</w:t>
      </w:r>
      <w:r>
        <w:rPr>
          <w:sz w:val="24"/>
        </w:rPr>
        <w:t>万元，</w:t>
      </w:r>
      <w:r>
        <w:rPr>
          <w:rFonts w:hint="eastAsia"/>
          <w:sz w:val="24"/>
        </w:rPr>
        <w:t>供应商的最后磋商报价不能超过各包控制金额，否则其磋商响应将被拒绝。</w:t>
      </w:r>
    </w:p>
    <w:p>
      <w:pPr>
        <w:spacing w:line="360" w:lineRule="auto"/>
        <w:ind w:firstLine="480" w:firstLineChars="200"/>
        <w:rPr>
          <w:sz w:val="24"/>
        </w:rPr>
      </w:pPr>
      <w:r>
        <w:rPr>
          <w:sz w:val="24"/>
        </w:rPr>
        <w:t>5.采购需求：</w:t>
      </w:r>
    </w:p>
    <w:tbl>
      <w:tblPr>
        <w:tblStyle w:val="45"/>
        <w:tblW w:w="0" w:type="auto"/>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38"/>
        <w:gridCol w:w="1785"/>
        <w:gridCol w:w="1526"/>
        <w:gridCol w:w="899"/>
        <w:gridCol w:w="3264"/>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638" w:type="dxa"/>
            <w:tcMar>
              <w:top w:w="0" w:type="dxa"/>
              <w:left w:w="105" w:type="dxa"/>
              <w:bottom w:w="0" w:type="dxa"/>
              <w:right w:w="105" w:type="dxa"/>
            </w:tcMar>
            <w:vAlign w:val="center"/>
          </w:tcPr>
          <w:p>
            <w:pPr>
              <w:jc w:val="center"/>
              <w:rPr>
                <w:rFonts w:ascii="宋体" w:hAnsi="宋体"/>
                <w:b/>
                <w:szCs w:val="21"/>
              </w:rPr>
            </w:pPr>
            <w:r>
              <w:rPr>
                <w:rFonts w:hint="eastAsia" w:ascii="宋体" w:hAnsi="宋体"/>
                <w:b/>
                <w:szCs w:val="21"/>
              </w:rPr>
              <w:t>包</w:t>
            </w:r>
            <w:r>
              <w:rPr>
                <w:rFonts w:ascii="宋体" w:hAnsi="宋体"/>
                <w:b/>
                <w:szCs w:val="21"/>
              </w:rPr>
              <w:t>号</w:t>
            </w:r>
          </w:p>
        </w:tc>
        <w:tc>
          <w:tcPr>
            <w:tcW w:w="1785" w:type="dxa"/>
            <w:tcMar>
              <w:top w:w="0" w:type="dxa"/>
              <w:left w:w="105" w:type="dxa"/>
              <w:bottom w:w="0" w:type="dxa"/>
              <w:right w:w="105" w:type="dxa"/>
            </w:tcMar>
            <w:vAlign w:val="center"/>
          </w:tcPr>
          <w:p>
            <w:pPr>
              <w:jc w:val="center"/>
              <w:rPr>
                <w:rFonts w:ascii="宋体" w:hAnsi="宋体"/>
                <w:b/>
                <w:szCs w:val="21"/>
              </w:rPr>
            </w:pPr>
            <w:r>
              <w:rPr>
                <w:rFonts w:hint="eastAsia" w:ascii="宋体" w:hAnsi="宋体"/>
                <w:b/>
                <w:szCs w:val="21"/>
              </w:rPr>
              <w:t>采购名称</w:t>
            </w:r>
          </w:p>
        </w:tc>
        <w:tc>
          <w:tcPr>
            <w:tcW w:w="1526" w:type="dxa"/>
            <w:vAlign w:val="center"/>
          </w:tcPr>
          <w:p>
            <w:pPr>
              <w:jc w:val="center"/>
              <w:rPr>
                <w:rFonts w:ascii="宋体" w:hAnsi="宋体"/>
                <w:b/>
                <w:szCs w:val="21"/>
              </w:rPr>
            </w:pPr>
            <w:r>
              <w:rPr>
                <w:rFonts w:ascii="宋体" w:hAnsi="宋体"/>
                <w:b/>
                <w:szCs w:val="21"/>
              </w:rPr>
              <w:t>采购包预算金额</w:t>
            </w:r>
          </w:p>
          <w:p>
            <w:pPr>
              <w:jc w:val="center"/>
              <w:rPr>
                <w:rFonts w:ascii="宋体" w:hAnsi="宋体"/>
                <w:b/>
                <w:szCs w:val="21"/>
              </w:rPr>
            </w:pPr>
            <w:r>
              <w:rPr>
                <w:rFonts w:ascii="宋体" w:hAnsi="宋体"/>
                <w:b/>
                <w:szCs w:val="21"/>
              </w:rPr>
              <w:t>（万元）</w:t>
            </w:r>
          </w:p>
        </w:tc>
        <w:tc>
          <w:tcPr>
            <w:tcW w:w="899" w:type="dxa"/>
            <w:tcMar>
              <w:top w:w="0" w:type="dxa"/>
              <w:left w:w="105" w:type="dxa"/>
              <w:bottom w:w="0" w:type="dxa"/>
              <w:right w:w="105" w:type="dxa"/>
            </w:tcMar>
            <w:vAlign w:val="center"/>
          </w:tcPr>
          <w:p>
            <w:pPr>
              <w:jc w:val="center"/>
              <w:rPr>
                <w:rFonts w:ascii="宋体" w:hAnsi="宋体"/>
                <w:b/>
                <w:szCs w:val="21"/>
              </w:rPr>
            </w:pPr>
            <w:r>
              <w:rPr>
                <w:rFonts w:ascii="宋体" w:hAnsi="宋体"/>
                <w:b/>
                <w:szCs w:val="21"/>
              </w:rPr>
              <w:t>数量</w:t>
            </w:r>
          </w:p>
        </w:tc>
        <w:tc>
          <w:tcPr>
            <w:tcW w:w="3264" w:type="dxa"/>
            <w:tcMar>
              <w:top w:w="0" w:type="dxa"/>
              <w:left w:w="105" w:type="dxa"/>
              <w:bottom w:w="0" w:type="dxa"/>
              <w:right w:w="105" w:type="dxa"/>
            </w:tcMar>
            <w:vAlign w:val="center"/>
          </w:tcPr>
          <w:p>
            <w:pPr>
              <w:jc w:val="center"/>
              <w:rPr>
                <w:rFonts w:ascii="宋体" w:hAnsi="宋体"/>
                <w:b/>
                <w:szCs w:val="21"/>
              </w:rPr>
            </w:pPr>
            <w:r>
              <w:rPr>
                <w:rFonts w:ascii="宋体" w:hAnsi="宋体"/>
                <w:b/>
                <w:szCs w:val="21"/>
              </w:rPr>
              <w:t>简要技术需求或服务要求</w:t>
            </w:r>
          </w:p>
        </w:tc>
        <w:tc>
          <w:tcPr>
            <w:tcW w:w="1347" w:type="dxa"/>
            <w:vAlign w:val="center"/>
          </w:tcPr>
          <w:p>
            <w:pPr>
              <w:jc w:val="center"/>
              <w:rPr>
                <w:rFonts w:ascii="宋体" w:hAnsi="宋体"/>
                <w:b/>
                <w:szCs w:val="21"/>
              </w:rPr>
            </w:pPr>
            <w:r>
              <w:rPr>
                <w:rFonts w:ascii="宋体" w:hAnsi="宋体"/>
                <w:b/>
                <w:szCs w:val="21"/>
              </w:rPr>
              <w:t>是否接受进口产品投标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7" w:hRule="atLeast"/>
        </w:trPr>
        <w:tc>
          <w:tcPr>
            <w:tcW w:w="638" w:type="dxa"/>
            <w:tcMar>
              <w:top w:w="0" w:type="dxa"/>
              <w:left w:w="105" w:type="dxa"/>
              <w:bottom w:w="0" w:type="dxa"/>
              <w:right w:w="105" w:type="dxa"/>
            </w:tcMar>
            <w:vAlign w:val="center"/>
          </w:tcPr>
          <w:p>
            <w:pPr>
              <w:spacing w:line="360" w:lineRule="auto"/>
              <w:jc w:val="center"/>
              <w:rPr>
                <w:rFonts w:hint="eastAsia"/>
                <w:sz w:val="24"/>
              </w:rPr>
            </w:pPr>
            <w:r>
              <w:rPr>
                <w:rFonts w:hint="eastAsia"/>
                <w:sz w:val="24"/>
              </w:rPr>
              <w:t>01</w:t>
            </w:r>
          </w:p>
        </w:tc>
        <w:tc>
          <w:tcPr>
            <w:tcW w:w="1785" w:type="dxa"/>
            <w:tcMar>
              <w:top w:w="0" w:type="dxa"/>
              <w:left w:w="105" w:type="dxa"/>
              <w:bottom w:w="0" w:type="dxa"/>
              <w:right w:w="105" w:type="dxa"/>
            </w:tcMar>
            <w:vAlign w:val="center"/>
          </w:tcPr>
          <w:p>
            <w:pPr>
              <w:spacing w:line="360" w:lineRule="auto"/>
              <w:jc w:val="center"/>
              <w:rPr>
                <w:rFonts w:hint="eastAsia"/>
                <w:sz w:val="24"/>
              </w:rPr>
            </w:pPr>
            <w:r>
              <w:rPr>
                <w:rFonts w:hint="eastAsia"/>
                <w:sz w:val="24"/>
              </w:rPr>
              <w:t>教学设备</w:t>
            </w:r>
          </w:p>
        </w:tc>
        <w:tc>
          <w:tcPr>
            <w:tcW w:w="1526" w:type="dxa"/>
            <w:vAlign w:val="center"/>
          </w:tcPr>
          <w:p>
            <w:pPr>
              <w:spacing w:line="360" w:lineRule="auto"/>
              <w:ind w:firstLine="480" w:firstLineChars="200"/>
              <w:jc w:val="both"/>
              <w:rPr>
                <w:rFonts w:hint="eastAsia"/>
                <w:sz w:val="24"/>
              </w:rPr>
            </w:pPr>
            <w:r>
              <w:rPr>
                <w:rFonts w:hint="eastAsia"/>
                <w:sz w:val="24"/>
              </w:rPr>
              <w:t>44.10</w:t>
            </w:r>
          </w:p>
        </w:tc>
        <w:tc>
          <w:tcPr>
            <w:tcW w:w="899" w:type="dxa"/>
            <w:tcMar>
              <w:top w:w="0" w:type="dxa"/>
              <w:left w:w="105" w:type="dxa"/>
              <w:bottom w:w="0" w:type="dxa"/>
              <w:right w:w="105" w:type="dxa"/>
            </w:tcMar>
            <w:vAlign w:val="center"/>
          </w:tcPr>
          <w:p>
            <w:pPr>
              <w:spacing w:line="360" w:lineRule="auto"/>
              <w:jc w:val="center"/>
              <w:rPr>
                <w:rFonts w:hint="eastAsia"/>
                <w:sz w:val="24"/>
              </w:rPr>
            </w:pPr>
            <w:r>
              <w:rPr>
                <w:rFonts w:hint="eastAsia"/>
                <w:sz w:val="24"/>
              </w:rPr>
              <w:t>1批</w:t>
            </w:r>
          </w:p>
        </w:tc>
        <w:tc>
          <w:tcPr>
            <w:tcW w:w="3264" w:type="dxa"/>
            <w:tcMar>
              <w:top w:w="0" w:type="dxa"/>
              <w:left w:w="105" w:type="dxa"/>
              <w:bottom w:w="0" w:type="dxa"/>
              <w:right w:w="105" w:type="dxa"/>
            </w:tcMar>
            <w:vAlign w:val="center"/>
          </w:tcPr>
          <w:p>
            <w:pPr>
              <w:spacing w:line="360" w:lineRule="auto"/>
              <w:rPr>
                <w:rFonts w:hint="eastAsia"/>
                <w:sz w:val="24"/>
              </w:rPr>
            </w:pPr>
            <w:r>
              <w:rPr>
                <w:rFonts w:hint="eastAsia"/>
                <w:sz w:val="24"/>
              </w:rPr>
              <w:t>学生课桌椅、小学书包柜、湿擦式复合黑板、视频展台等</w:t>
            </w:r>
          </w:p>
        </w:tc>
        <w:tc>
          <w:tcPr>
            <w:tcW w:w="1347" w:type="dxa"/>
            <w:vMerge w:val="restart"/>
            <w:vAlign w:val="center"/>
          </w:tcPr>
          <w:p>
            <w:pPr>
              <w:jc w:val="center"/>
              <w:rPr>
                <w:rFonts w:ascii="宋体" w:hAnsi="宋体"/>
                <w:szCs w:val="21"/>
              </w:rPr>
            </w:pP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7" w:hRule="atLeast"/>
        </w:trPr>
        <w:tc>
          <w:tcPr>
            <w:tcW w:w="638" w:type="dxa"/>
            <w:tcMar>
              <w:top w:w="0" w:type="dxa"/>
              <w:left w:w="105" w:type="dxa"/>
              <w:bottom w:w="0" w:type="dxa"/>
              <w:right w:w="105" w:type="dxa"/>
            </w:tcMar>
            <w:vAlign w:val="center"/>
          </w:tcPr>
          <w:p>
            <w:pPr>
              <w:spacing w:line="360" w:lineRule="auto"/>
              <w:jc w:val="center"/>
              <w:rPr>
                <w:rFonts w:hint="eastAsia"/>
                <w:sz w:val="24"/>
              </w:rPr>
            </w:pPr>
            <w:r>
              <w:rPr>
                <w:rFonts w:hint="eastAsia"/>
                <w:sz w:val="24"/>
              </w:rPr>
              <w:t>02</w:t>
            </w:r>
          </w:p>
        </w:tc>
        <w:tc>
          <w:tcPr>
            <w:tcW w:w="1785" w:type="dxa"/>
            <w:tcMar>
              <w:top w:w="0" w:type="dxa"/>
              <w:left w:w="105" w:type="dxa"/>
              <w:bottom w:w="0" w:type="dxa"/>
              <w:right w:w="105" w:type="dxa"/>
            </w:tcMar>
            <w:vAlign w:val="center"/>
          </w:tcPr>
          <w:p>
            <w:pPr>
              <w:spacing w:line="360" w:lineRule="auto"/>
              <w:jc w:val="center"/>
              <w:rPr>
                <w:rFonts w:hint="eastAsia"/>
                <w:sz w:val="24"/>
              </w:rPr>
            </w:pPr>
            <w:r>
              <w:rPr>
                <w:rFonts w:hint="eastAsia"/>
                <w:sz w:val="24"/>
              </w:rPr>
              <w:t>专用教室</w:t>
            </w:r>
          </w:p>
        </w:tc>
        <w:tc>
          <w:tcPr>
            <w:tcW w:w="1526" w:type="dxa"/>
            <w:vAlign w:val="center"/>
          </w:tcPr>
          <w:p>
            <w:pPr>
              <w:spacing w:line="360" w:lineRule="auto"/>
              <w:ind w:firstLine="480" w:firstLineChars="200"/>
              <w:jc w:val="both"/>
              <w:rPr>
                <w:rFonts w:hint="eastAsia"/>
                <w:sz w:val="24"/>
              </w:rPr>
            </w:pPr>
            <w:r>
              <w:rPr>
                <w:rFonts w:hint="eastAsia"/>
                <w:sz w:val="24"/>
              </w:rPr>
              <w:t>37.81</w:t>
            </w:r>
          </w:p>
        </w:tc>
        <w:tc>
          <w:tcPr>
            <w:tcW w:w="899" w:type="dxa"/>
            <w:tcMar>
              <w:top w:w="0" w:type="dxa"/>
              <w:left w:w="105" w:type="dxa"/>
              <w:bottom w:w="0" w:type="dxa"/>
              <w:right w:w="105" w:type="dxa"/>
            </w:tcMar>
            <w:vAlign w:val="center"/>
          </w:tcPr>
          <w:p>
            <w:pPr>
              <w:spacing w:line="360" w:lineRule="auto"/>
              <w:jc w:val="center"/>
              <w:rPr>
                <w:rFonts w:hint="eastAsia"/>
                <w:sz w:val="24"/>
              </w:rPr>
            </w:pPr>
            <w:r>
              <w:rPr>
                <w:rFonts w:hint="eastAsia"/>
                <w:sz w:val="24"/>
              </w:rPr>
              <w:t>1批</w:t>
            </w:r>
          </w:p>
        </w:tc>
        <w:tc>
          <w:tcPr>
            <w:tcW w:w="3264" w:type="dxa"/>
            <w:tcMar>
              <w:top w:w="0" w:type="dxa"/>
              <w:left w:w="105" w:type="dxa"/>
              <w:bottom w:w="0" w:type="dxa"/>
              <w:right w:w="105" w:type="dxa"/>
            </w:tcMar>
            <w:vAlign w:val="center"/>
          </w:tcPr>
          <w:p>
            <w:pPr>
              <w:spacing w:line="360" w:lineRule="auto"/>
              <w:rPr>
                <w:rFonts w:hint="eastAsia"/>
                <w:sz w:val="24"/>
              </w:rPr>
            </w:pPr>
            <w:r>
              <w:rPr>
                <w:rFonts w:hint="eastAsia"/>
                <w:sz w:val="24"/>
              </w:rPr>
              <w:t>教师演示台、教师椅、主控电源、学生实验桌、学生电源等</w:t>
            </w:r>
          </w:p>
        </w:tc>
        <w:tc>
          <w:tcPr>
            <w:tcW w:w="1347" w:type="dxa"/>
            <w:vMerge w:val="continue"/>
            <w:vAlign w:val="center"/>
          </w:tcPr>
          <w:p>
            <w:pPr>
              <w:jc w:val="center"/>
              <w:rPr>
                <w:rFonts w:ascii="宋体" w:hAnsi="宋体"/>
                <w:szCs w:val="21"/>
              </w:rPr>
            </w:pPr>
          </w:p>
        </w:tc>
      </w:tr>
    </w:tbl>
    <w:p>
      <w:pPr>
        <w:pStyle w:val="34"/>
      </w:pPr>
    </w:p>
    <w:p>
      <w:pPr>
        <w:spacing w:line="360" w:lineRule="auto"/>
        <w:ind w:firstLine="480" w:firstLineChars="200"/>
        <w:rPr>
          <w:sz w:val="24"/>
          <w:u w:val="single"/>
        </w:rPr>
      </w:pPr>
      <w:r>
        <w:rPr>
          <w:sz w:val="24"/>
        </w:rPr>
        <w:t>6.合同履行期限：</w:t>
      </w:r>
      <w:r>
        <w:rPr>
          <w:rFonts w:hint="eastAsia"/>
          <w:sz w:val="24"/>
        </w:rPr>
        <w:t>自合同签订生效之日起至供应商完成本项目约定的全部服务内容之日止。</w:t>
      </w:r>
    </w:p>
    <w:p>
      <w:pPr>
        <w:spacing w:line="360" w:lineRule="auto"/>
        <w:ind w:firstLine="480" w:firstLineChars="200"/>
        <w:rPr>
          <w:sz w:val="24"/>
        </w:rPr>
      </w:pPr>
      <w:r>
        <w:rPr>
          <w:sz w:val="24"/>
        </w:rPr>
        <w:t>7.本项目是否接受联合体：</w:t>
      </w:r>
      <w:r>
        <w:t>□</w:t>
      </w:r>
      <w:r>
        <w:rPr>
          <w:sz w:val="24"/>
        </w:rPr>
        <w:t xml:space="preserve">是  </w:t>
      </w:r>
      <w:r>
        <w:rPr>
          <w:rFonts w:hint="eastAsia"/>
          <w:sz w:val="16"/>
        </w:rPr>
        <w:t>■</w:t>
      </w:r>
      <w:r>
        <w:rPr>
          <w:sz w:val="24"/>
        </w:rPr>
        <w:t>否。</w:t>
      </w:r>
    </w:p>
    <w:p>
      <w:pPr>
        <w:spacing w:line="360" w:lineRule="auto"/>
        <w:ind w:firstLine="480" w:firstLineChars="200"/>
        <w:rPr>
          <w:sz w:val="24"/>
        </w:rPr>
      </w:pPr>
      <w:r>
        <w:rPr>
          <w:rFonts w:hint="eastAsia"/>
          <w:sz w:val="24"/>
        </w:rPr>
        <w:t>8.</w:t>
      </w:r>
      <w:r>
        <w:rPr>
          <w:sz w:val="24"/>
        </w:rPr>
        <w:t>本项目是否接受</w:t>
      </w:r>
      <w:r>
        <w:rPr>
          <w:rFonts w:hint="eastAsia"/>
          <w:sz w:val="24"/>
        </w:rPr>
        <w:t>进口产品投标：</w:t>
      </w:r>
      <w:r>
        <w:rPr/>
        <w:sym w:font="Wingdings 2" w:char="00A3"/>
      </w:r>
      <w:r>
        <w:rPr>
          <w:sz w:val="24"/>
        </w:rPr>
        <w:t xml:space="preserve">是  </w:t>
      </w:r>
      <w:r>
        <w:rPr>
          <w:rFonts w:hint="eastAsia"/>
          <w:sz w:val="16"/>
        </w:rPr>
        <w:t>■</w:t>
      </w:r>
      <w:r>
        <w:rPr>
          <w:sz w:val="24"/>
        </w:rPr>
        <w:t>否。</w:t>
      </w:r>
    </w:p>
    <w:p>
      <w:pPr>
        <w:spacing w:line="360" w:lineRule="auto"/>
        <w:ind w:firstLine="480" w:firstLineChars="200"/>
        <w:rPr>
          <w:sz w:val="24"/>
        </w:rPr>
      </w:pPr>
      <w:r>
        <w:rPr>
          <w:rFonts w:hint="eastAsia"/>
          <w:sz w:val="24"/>
        </w:rPr>
        <w:t xml:space="preserve">9.所属预算项目及编号（CA）：/       </w:t>
      </w:r>
    </w:p>
    <w:p>
      <w:pPr>
        <w:spacing w:line="360" w:lineRule="auto"/>
        <w:ind w:firstLine="720" w:firstLineChars="300"/>
        <w:rPr>
          <w:rFonts w:hint="eastAsia" w:eastAsia="宋体"/>
          <w:sz w:val="24"/>
          <w:lang w:val="en-US" w:eastAsia="zh-CN"/>
        </w:rPr>
      </w:pPr>
      <w:r>
        <w:rPr>
          <w:rFonts w:hint="eastAsia"/>
          <w:sz w:val="24"/>
        </w:rPr>
        <w:t>项目批复编号：</w:t>
      </w:r>
      <w:r>
        <w:rPr>
          <w:rFonts w:hint="eastAsia"/>
          <w:sz w:val="24"/>
          <w:lang w:val="en-US" w:eastAsia="zh-CN"/>
        </w:rPr>
        <w:t>/</w:t>
      </w:r>
    </w:p>
    <w:p>
      <w:pPr>
        <w:spacing w:line="360" w:lineRule="auto"/>
        <w:ind w:firstLine="480" w:firstLineChars="200"/>
        <w:rPr>
          <w:sz w:val="24"/>
        </w:rPr>
      </w:pPr>
      <w:r>
        <w:rPr>
          <w:rFonts w:hint="eastAsia"/>
          <w:sz w:val="24"/>
        </w:rPr>
        <w:t>10.意向公告日期：202</w:t>
      </w:r>
      <w:r>
        <w:rPr>
          <w:sz w:val="24"/>
        </w:rPr>
        <w:t>3</w:t>
      </w:r>
      <w:r>
        <w:rPr>
          <w:rFonts w:hint="eastAsia"/>
          <w:sz w:val="24"/>
        </w:rPr>
        <w:t>年7月5日。</w:t>
      </w:r>
    </w:p>
    <w:p>
      <w:pPr>
        <w:pStyle w:val="38"/>
      </w:pPr>
    </w:p>
    <w:p>
      <w:pPr>
        <w:pStyle w:val="4"/>
        <w:spacing w:before="0" w:line="360" w:lineRule="auto"/>
        <w:jc w:val="left"/>
        <w:rPr>
          <w:rFonts w:ascii="Times New Roman" w:hAnsi="Times New Roman" w:eastAsia="宋体"/>
          <w:sz w:val="24"/>
          <w:szCs w:val="24"/>
        </w:rPr>
      </w:pPr>
      <w:bookmarkStart w:id="11" w:name="_Toc28359080"/>
      <w:bookmarkStart w:id="12" w:name="_Toc35393622"/>
      <w:bookmarkStart w:id="13" w:name="_Toc28359003"/>
      <w:bookmarkStart w:id="14" w:name="_Toc35393791"/>
      <w:r>
        <w:rPr>
          <w:rFonts w:ascii="Times New Roman" w:hAnsi="Times New Roman" w:eastAsia="宋体"/>
          <w:sz w:val="24"/>
          <w:szCs w:val="24"/>
        </w:rPr>
        <w:t>二、申请人的资格要求（须同时满足）</w:t>
      </w:r>
      <w:bookmarkEnd w:id="11"/>
      <w:bookmarkEnd w:id="12"/>
      <w:bookmarkEnd w:id="13"/>
      <w:bookmarkEnd w:id="14"/>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5" w:name="_Toc28359004"/>
      <w:bookmarkStart w:id="16" w:name="_Toc28359081"/>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321" w:firstLineChars="200"/>
        <w:rPr>
          <w:b/>
          <w:bCs/>
          <w:sz w:val="24"/>
        </w:rPr>
      </w:pPr>
      <w:r>
        <w:rPr>
          <w:rFonts w:hint="eastAsia"/>
          <w:b/>
          <w:bCs/>
          <w:sz w:val="16"/>
        </w:rPr>
        <w:t>■</w:t>
      </w:r>
      <w:r>
        <w:rPr>
          <w:b/>
          <w:bCs/>
          <w:sz w:val="24"/>
        </w:rPr>
        <w:t>本项目不专门面向中小企业预留采购份额。</w:t>
      </w:r>
    </w:p>
    <w:p>
      <w:pPr>
        <w:spacing w:line="360" w:lineRule="auto"/>
        <w:ind w:firstLine="420" w:firstLineChars="200"/>
        <w:rPr>
          <w:sz w:val="24"/>
        </w:rPr>
      </w:pPr>
      <w:r>
        <w:t>□</w:t>
      </w:r>
      <w:r>
        <w:rPr>
          <w:sz w:val="24"/>
        </w:rPr>
        <w:t>本项目专门面向</w:t>
      </w:r>
      <w:r>
        <w:rPr>
          <w:rFonts w:hint="eastAsia"/>
          <w:sz w:val="24"/>
        </w:rPr>
        <w:t xml:space="preserve"> </w:t>
      </w:r>
      <w:r>
        <w:rPr>
          <w:rFonts w:eastAsia="宋体"/>
        </w:rPr>
        <w:t>□</w:t>
      </w:r>
      <w:r>
        <w:rPr>
          <w:rFonts w:eastAsia="宋体"/>
          <w:sz w:val="24"/>
        </w:rPr>
        <w:t xml:space="preserve">中小 </w:t>
      </w:r>
      <w:r>
        <w:rPr>
          <w:rFonts w:eastAsia="宋体"/>
        </w:rPr>
        <w:t>□</w:t>
      </w:r>
      <w:r>
        <w:rPr>
          <w:rFonts w:eastAsia="宋体"/>
          <w:sz w:val="24"/>
        </w:rPr>
        <w:t>小微企业  采购</w:t>
      </w:r>
      <w:r>
        <w:rPr>
          <w:sz w:val="24"/>
        </w:rPr>
        <w:t>。即：提供的货物全部由符合政策要求的</w:t>
      </w:r>
      <w:r>
        <w:rPr>
          <w:rFonts w:hint="eastAsia"/>
          <w:sz w:val="24"/>
        </w:rPr>
        <w:t>中小/</w:t>
      </w:r>
      <w:r>
        <w:rPr>
          <w:sz w:val="24"/>
        </w:rPr>
        <w:t>小微企业制造、服务全部由符合政策要求的</w:t>
      </w:r>
      <w:r>
        <w:rPr>
          <w:rFonts w:hint="eastAsia"/>
          <w:sz w:val="24"/>
        </w:rPr>
        <w:t>中小/</w:t>
      </w:r>
      <w:r>
        <w:rPr>
          <w:sz w:val="24"/>
        </w:rPr>
        <w:t>小微企业承接。</w:t>
      </w:r>
    </w:p>
    <w:p>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rFonts w:hint="eastAsia"/>
          <w:sz w:val="24"/>
        </w:rPr>
        <w:t>。</w:t>
      </w:r>
    </w:p>
    <w:p>
      <w:pPr>
        <w:spacing w:line="360" w:lineRule="auto"/>
        <w:ind w:firstLine="480" w:firstLineChars="200"/>
        <w:rPr>
          <w:sz w:val="24"/>
        </w:rPr>
      </w:pPr>
      <w:r>
        <w:rPr>
          <w:sz w:val="24"/>
        </w:rPr>
        <w:t>2.2 其它落实政府采购政策的资格要求（如有）：</w:t>
      </w:r>
      <w:r>
        <w:rPr>
          <w:rFonts w:hint="eastAsia"/>
          <w:sz w:val="24"/>
          <w:u w:val="single"/>
        </w:rPr>
        <w:t>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w:t>
      </w:r>
      <w:r>
        <w:rPr>
          <w:rFonts w:hint="eastAsia"/>
          <w:sz w:val="24"/>
        </w:rPr>
        <w:t>。</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color w:val="FF0000"/>
          <w:sz w:val="24"/>
        </w:rPr>
      </w:pPr>
      <w:r>
        <w:rPr>
          <w:sz w:val="24"/>
        </w:rPr>
        <w:t>3.1本项目是否接受分支机构参与响应：</w:t>
      </w:r>
      <w:r>
        <w:t>□</w:t>
      </w:r>
      <w:r>
        <w:rPr>
          <w:sz w:val="24"/>
        </w:rPr>
        <w:t xml:space="preserve">是 </w:t>
      </w:r>
      <w:r>
        <w:rPr>
          <w:rFonts w:hint="eastAsia"/>
          <w:sz w:val="15"/>
        </w:rPr>
        <w:t>■</w:t>
      </w:r>
      <w:r>
        <w:rPr>
          <w:sz w:val="24"/>
        </w:rPr>
        <w:t>否；</w:t>
      </w:r>
      <w:r>
        <w:rPr>
          <w:color w:val="FF0000"/>
          <w:sz w:val="24"/>
        </w:rPr>
        <w:t xml:space="preserve"> </w:t>
      </w:r>
    </w:p>
    <w:p>
      <w:pPr>
        <w:tabs>
          <w:tab w:val="left" w:pos="900"/>
          <w:tab w:val="left" w:pos="1134"/>
          <w:tab w:val="left" w:pos="1589"/>
          <w:tab w:val="left" w:pos="5521"/>
        </w:tabs>
        <w:snapToGrid w:val="0"/>
        <w:spacing w:line="360" w:lineRule="auto"/>
        <w:ind w:firstLine="480" w:firstLineChars="200"/>
        <w:rPr>
          <w:sz w:val="24"/>
        </w:rPr>
      </w:pPr>
      <w:r>
        <w:rPr>
          <w:sz w:val="24"/>
        </w:rPr>
        <w:t>3.2 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rFonts w:hint="eastAsia"/>
          <w:sz w:val="15"/>
        </w:rPr>
        <w:t>■</w:t>
      </w:r>
      <w:r>
        <w:rPr>
          <w:sz w:val="24"/>
        </w:rPr>
        <w:t>否</w:t>
      </w:r>
    </w:p>
    <w:p>
      <w:pPr>
        <w:tabs>
          <w:tab w:val="left" w:pos="900"/>
          <w:tab w:val="left" w:pos="1134"/>
          <w:tab w:val="left" w:pos="1589"/>
          <w:tab w:val="left" w:pos="5521"/>
        </w:tabs>
        <w:snapToGrid w:val="0"/>
        <w:spacing w:line="360" w:lineRule="auto"/>
        <w:ind w:left="991" w:leftChars="472" w:firstLine="2"/>
        <w:rPr>
          <w:sz w:val="24"/>
        </w:rPr>
      </w:pPr>
      <w:r>
        <w:t>□</w:t>
      </w: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sz w:val="24"/>
          <w:u w:val="single"/>
        </w:rPr>
      </w:pPr>
      <w:r>
        <w:rPr>
          <w:sz w:val="24"/>
        </w:rPr>
        <w:t>3.3其他特定资格要求：</w:t>
      </w:r>
      <w:r>
        <w:rPr>
          <w:rFonts w:hint="eastAsia"/>
          <w:sz w:val="24"/>
          <w:u w:val="single"/>
        </w:rPr>
        <w:t>无</w:t>
      </w:r>
      <w:r>
        <w:rPr>
          <w:sz w:val="24"/>
        </w:rPr>
        <w:t>。</w:t>
      </w:r>
    </w:p>
    <w:p>
      <w:pPr>
        <w:spacing w:line="360" w:lineRule="auto"/>
        <w:ind w:firstLine="480" w:firstLineChars="200"/>
        <w:rPr>
          <w:i/>
          <w:iCs/>
          <w:sz w:val="24"/>
          <w:u w:val="single"/>
        </w:rPr>
      </w:pPr>
    </w:p>
    <w:bookmarkEnd w:id="15"/>
    <w:bookmarkEnd w:id="16"/>
    <w:p>
      <w:pPr>
        <w:pStyle w:val="4"/>
        <w:widowControl/>
        <w:spacing w:before="0" w:line="360" w:lineRule="auto"/>
        <w:jc w:val="left"/>
        <w:rPr>
          <w:rFonts w:ascii="Times New Roman" w:hAnsi="Times New Roman" w:eastAsia="宋体"/>
          <w:sz w:val="24"/>
          <w:szCs w:val="24"/>
        </w:rPr>
      </w:pPr>
      <w:bookmarkStart w:id="17" w:name="_Toc35393792"/>
      <w:bookmarkStart w:id="18" w:name="_Toc35393623"/>
      <w:r>
        <w:rPr>
          <w:rFonts w:ascii="Times New Roman" w:hAnsi="Times New Roman" w:eastAsia="宋体"/>
          <w:sz w:val="24"/>
          <w:szCs w:val="24"/>
        </w:rPr>
        <w:t>三、获取磋商文件</w:t>
      </w:r>
      <w:bookmarkEnd w:id="17"/>
      <w:bookmarkEnd w:id="18"/>
    </w:p>
    <w:p>
      <w:pPr>
        <w:tabs>
          <w:tab w:val="left" w:pos="900"/>
          <w:tab w:val="left" w:pos="1980"/>
        </w:tabs>
        <w:snapToGrid w:val="0"/>
        <w:spacing w:line="360" w:lineRule="auto"/>
        <w:ind w:firstLine="480" w:firstLineChars="200"/>
        <w:rPr>
          <w:sz w:val="24"/>
        </w:rPr>
      </w:pPr>
      <w:r>
        <w:rPr>
          <w:rFonts w:hint="eastAsia"/>
          <w:sz w:val="24"/>
        </w:rPr>
        <w:t>1. 时间：202</w:t>
      </w:r>
      <w:r>
        <w:rPr>
          <w:sz w:val="24"/>
        </w:rPr>
        <w:t>3</w:t>
      </w:r>
      <w:r>
        <w:rPr>
          <w:rFonts w:hint="eastAsia"/>
          <w:sz w:val="24"/>
        </w:rPr>
        <w:t>年8月</w:t>
      </w:r>
      <w:r>
        <w:rPr>
          <w:rFonts w:hint="eastAsia"/>
          <w:sz w:val="24"/>
          <w:lang w:val="en-US" w:eastAsia="zh-CN"/>
        </w:rPr>
        <w:t>9</w:t>
      </w:r>
      <w:r>
        <w:rPr>
          <w:rFonts w:hint="eastAsia"/>
          <w:sz w:val="24"/>
        </w:rPr>
        <w:t>日至202</w:t>
      </w:r>
      <w:r>
        <w:rPr>
          <w:sz w:val="24"/>
        </w:rPr>
        <w:t>3</w:t>
      </w:r>
      <w:r>
        <w:rPr>
          <w:rFonts w:hint="eastAsia"/>
          <w:sz w:val="24"/>
        </w:rPr>
        <w:t>年8月</w:t>
      </w:r>
      <w:r>
        <w:rPr>
          <w:rFonts w:hint="eastAsia"/>
          <w:sz w:val="24"/>
          <w:lang w:val="en-US" w:eastAsia="zh-CN"/>
        </w:rPr>
        <w:t>16</w:t>
      </w:r>
      <w:r>
        <w:rPr>
          <w:rFonts w:hint="eastAsia"/>
          <w:sz w:val="24"/>
        </w:rPr>
        <w:t>日，每天上午9时00分至11时30分，下午13时00分至17时00分（北京时间，法定节假日除外）。</w:t>
      </w:r>
    </w:p>
    <w:p>
      <w:pPr>
        <w:tabs>
          <w:tab w:val="left" w:pos="900"/>
          <w:tab w:val="left" w:pos="1980"/>
        </w:tabs>
        <w:snapToGrid w:val="0"/>
        <w:spacing w:line="360" w:lineRule="auto"/>
        <w:ind w:firstLine="480" w:firstLineChars="200"/>
        <w:rPr>
          <w:sz w:val="24"/>
        </w:rPr>
      </w:pPr>
      <w:r>
        <w:rPr>
          <w:rFonts w:hint="eastAsia"/>
          <w:sz w:val="24"/>
        </w:rPr>
        <w:t>2. 地点：</w:t>
      </w:r>
      <w:r>
        <w:rPr>
          <w:rFonts w:hint="eastAsia"/>
          <w:sz w:val="24"/>
          <w:lang w:bidi="ar"/>
        </w:rPr>
        <w:t>北京市海淀区学院路30号科大天工大厦B座17层1703室。</w:t>
      </w:r>
    </w:p>
    <w:p>
      <w:pPr>
        <w:tabs>
          <w:tab w:val="left" w:pos="900"/>
          <w:tab w:val="left" w:pos="1980"/>
        </w:tabs>
        <w:snapToGrid w:val="0"/>
        <w:spacing w:line="360" w:lineRule="auto"/>
        <w:ind w:firstLine="480" w:firstLineChars="200"/>
        <w:rPr>
          <w:rFonts w:hint="eastAsia"/>
          <w:sz w:val="24"/>
          <w:lang w:val="zh-CN"/>
        </w:rPr>
      </w:pPr>
      <w:r>
        <w:rPr>
          <w:rFonts w:hint="eastAsia"/>
          <w:sz w:val="24"/>
        </w:rPr>
        <w:t>3. 方式：电汇/网银购买或现场</w:t>
      </w:r>
      <w:r>
        <w:rPr>
          <w:rFonts w:hint="eastAsia"/>
          <w:sz w:val="24"/>
          <w:lang w:val="en-US" w:eastAsia="zh-CN"/>
        </w:rPr>
        <w:t>获取</w:t>
      </w:r>
      <w:r>
        <w:rPr>
          <w:rFonts w:hint="eastAsia"/>
          <w:sz w:val="24"/>
        </w:rPr>
        <w:t>（只接受现金）</w:t>
      </w:r>
      <w:r>
        <w:rPr>
          <w:rFonts w:hint="eastAsia"/>
          <w:sz w:val="24"/>
          <w:lang w:val="zh-CN"/>
        </w:rPr>
        <w:t>。</w:t>
      </w:r>
      <w:bookmarkStart w:id="829" w:name="_GoBack"/>
      <w:bookmarkEnd w:id="829"/>
    </w:p>
    <w:p>
      <w:pPr>
        <w:tabs>
          <w:tab w:val="left" w:pos="900"/>
          <w:tab w:val="left" w:pos="1980"/>
        </w:tabs>
        <w:snapToGrid w:val="0"/>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建议优先选择电汇或网银</w:t>
      </w:r>
      <w:r>
        <w:rPr>
          <w:rFonts w:hint="eastAsia"/>
          <w:sz w:val="24"/>
          <w:lang w:val="en-US" w:eastAsia="zh-CN"/>
        </w:rPr>
        <w:t>获取</w:t>
      </w:r>
      <w:r>
        <w:rPr>
          <w:rFonts w:hint="eastAsia"/>
          <w:sz w:val="24"/>
        </w:rPr>
        <w:t>标书，请</w:t>
      </w:r>
      <w:r>
        <w:rPr>
          <w:rFonts w:hint="eastAsia"/>
          <w:sz w:val="24"/>
          <w:lang w:val="en-US" w:eastAsia="zh-CN"/>
        </w:rPr>
        <w:t>供应商</w:t>
      </w:r>
      <w:r>
        <w:rPr>
          <w:rFonts w:hint="eastAsia"/>
          <w:sz w:val="24"/>
        </w:rPr>
        <w:t>汇款时务必注明“标号+用途”（比如：23ZB</w:t>
      </w:r>
      <w:r>
        <w:rPr>
          <w:rFonts w:hint="eastAsia"/>
          <w:sz w:val="24"/>
          <w:lang w:val="en-US" w:eastAsia="zh-CN"/>
        </w:rPr>
        <w:t>0</w:t>
      </w:r>
      <w:r>
        <w:rPr>
          <w:rFonts w:hint="eastAsia"/>
          <w:sz w:val="24"/>
        </w:rPr>
        <w:t>347保证金或者23ZB</w:t>
      </w:r>
      <w:r>
        <w:rPr>
          <w:rFonts w:hint="eastAsia"/>
          <w:sz w:val="24"/>
          <w:lang w:val="en-US" w:eastAsia="zh-CN"/>
        </w:rPr>
        <w:t>0</w:t>
      </w:r>
      <w:r>
        <w:rPr>
          <w:rFonts w:hint="eastAsia"/>
          <w:sz w:val="24"/>
        </w:rPr>
        <w:t>347标书款），以便财务查账及汇总。期满后</w:t>
      </w:r>
      <w:r>
        <w:rPr>
          <w:rFonts w:hint="eastAsia"/>
          <w:sz w:val="24"/>
          <w:lang w:val="en-US" w:eastAsia="zh-CN"/>
        </w:rPr>
        <w:t>获取磋商</w:t>
      </w:r>
      <w:r>
        <w:rPr>
          <w:rFonts w:hint="eastAsia"/>
          <w:sz w:val="24"/>
        </w:rPr>
        <w:t>文件的潜在</w:t>
      </w:r>
      <w:r>
        <w:rPr>
          <w:rFonts w:hint="eastAsia"/>
          <w:sz w:val="24"/>
          <w:lang w:val="en-US" w:eastAsia="zh-CN"/>
        </w:rPr>
        <w:t>供应商</w:t>
      </w:r>
      <w:r>
        <w:rPr>
          <w:rFonts w:hint="eastAsia"/>
          <w:sz w:val="24"/>
        </w:rPr>
        <w:t>不足3家的，采购单位可以顺延</w:t>
      </w:r>
      <w:r>
        <w:rPr>
          <w:rFonts w:hint="eastAsia"/>
          <w:sz w:val="24"/>
          <w:lang w:val="en-US" w:eastAsia="zh-CN"/>
        </w:rPr>
        <w:t>磋商</w:t>
      </w:r>
      <w:r>
        <w:rPr>
          <w:rFonts w:hint="eastAsia"/>
          <w:sz w:val="24"/>
        </w:rPr>
        <w:t>文件</w:t>
      </w:r>
      <w:r>
        <w:rPr>
          <w:rFonts w:hint="eastAsia"/>
          <w:sz w:val="24"/>
          <w:lang w:val="en-US" w:eastAsia="zh-CN"/>
        </w:rPr>
        <w:t>获取</w:t>
      </w:r>
      <w:r>
        <w:rPr>
          <w:rFonts w:hint="eastAsia"/>
          <w:sz w:val="24"/>
        </w:rPr>
        <w:t>时间并另行公告。电汇或网银</w:t>
      </w:r>
      <w:r>
        <w:rPr>
          <w:rFonts w:hint="eastAsia"/>
          <w:sz w:val="24"/>
          <w:lang w:val="en-US" w:eastAsia="zh-CN"/>
        </w:rPr>
        <w:t>获取</w:t>
      </w:r>
      <w:r>
        <w:rPr>
          <w:rFonts w:hint="eastAsia"/>
          <w:sz w:val="24"/>
        </w:rPr>
        <w:t>标书，请将电汇底单（网银转账页面）扫描件及以下表格发邮件至jowena@163.com，邮件主题请务必注明“（项目编号）购买标书信息”。</w:t>
      </w:r>
    </w:p>
    <w:tbl>
      <w:tblPr>
        <w:tblStyle w:val="45"/>
        <w:tblW w:w="7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项目编号</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BIECC-23ZB0347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包号</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eastAsia="宋体"/>
                <w:lang w:val="en-US" w:eastAsia="zh-CN"/>
              </w:rPr>
            </w:pPr>
            <w:r>
              <w:rPr>
                <w:rFonts w:hint="eastAsia"/>
                <w:lang w:val="en-US" w:eastAsia="zh-CN"/>
              </w:rPr>
              <w:t>01包 或 02包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单位名称</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纳税人识别号</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快递地址</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联系人</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联系电话</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bl>
    <w:p>
      <w:pPr>
        <w:spacing w:line="360" w:lineRule="auto"/>
        <w:ind w:firstLine="480" w:firstLineChars="200"/>
        <w:rPr>
          <w:rFonts w:hint="eastAsia"/>
          <w:sz w:val="24"/>
        </w:rPr>
      </w:pPr>
    </w:p>
    <w:p>
      <w:pPr>
        <w:numPr>
          <w:ilvl w:val="0"/>
          <w:numId w:val="1"/>
        </w:numPr>
        <w:spacing w:line="360" w:lineRule="auto"/>
        <w:ind w:firstLine="480" w:firstLineChars="200"/>
        <w:rPr>
          <w:rFonts w:hint="eastAsia"/>
          <w:sz w:val="24"/>
        </w:rPr>
      </w:pPr>
      <w:r>
        <w:rPr>
          <w:rFonts w:hint="eastAsia"/>
          <w:sz w:val="24"/>
        </w:rPr>
        <w:t>账户名称：北京国际工程咨询有限公司</w:t>
      </w:r>
    </w:p>
    <w:p>
      <w:pPr>
        <w:numPr>
          <w:ilvl w:val="0"/>
          <w:numId w:val="0"/>
        </w:numPr>
        <w:spacing w:line="360" w:lineRule="auto"/>
        <w:ind w:firstLine="1200" w:firstLineChars="500"/>
        <w:rPr>
          <w:rFonts w:hint="eastAsia"/>
          <w:sz w:val="24"/>
        </w:rPr>
      </w:pPr>
      <w:r>
        <w:rPr>
          <w:rFonts w:hint="eastAsia"/>
          <w:sz w:val="24"/>
        </w:rPr>
        <w:t>开户银行：华夏银行北京学院路支行</w:t>
      </w:r>
    </w:p>
    <w:p>
      <w:pPr>
        <w:numPr>
          <w:ilvl w:val="0"/>
          <w:numId w:val="0"/>
        </w:numPr>
        <w:spacing w:line="360" w:lineRule="auto"/>
        <w:ind w:firstLine="1200" w:firstLineChars="500"/>
        <w:rPr>
          <w:rFonts w:hint="eastAsia"/>
          <w:sz w:val="24"/>
        </w:rPr>
      </w:pPr>
      <w:r>
        <w:rPr>
          <w:rFonts w:hint="eastAsia"/>
          <w:sz w:val="24"/>
        </w:rPr>
        <w:t>帐    号：10242000000002546</w:t>
      </w:r>
    </w:p>
    <w:p>
      <w:pPr>
        <w:spacing w:line="360" w:lineRule="auto"/>
        <w:ind w:firstLine="480" w:firstLineChars="200"/>
        <w:rPr>
          <w:rFonts w:hint="eastAsia" w:ascii="宋体" w:hAnsi="宋体"/>
          <w:sz w:val="24"/>
          <w:highlight w:val="none"/>
          <w:lang w:val="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lang w:val="en-US" w:eastAsia="zh-CN"/>
        </w:rPr>
        <w:t>磋商</w:t>
      </w:r>
      <w:r>
        <w:rPr>
          <w:rFonts w:hint="eastAsia"/>
          <w:sz w:val="24"/>
        </w:rPr>
        <w:t>文件电子版下载网址：http://www.biecc.com.cn/news/Bidding/Download/，无需注册，进入页面找到对应项目，点击查看详情，进入详情页下载。</w:t>
      </w:r>
    </w:p>
    <w:p>
      <w:pPr>
        <w:widowControl/>
        <w:adjustRightInd w:val="0"/>
        <w:snapToGrid w:val="0"/>
        <w:spacing w:line="360" w:lineRule="auto"/>
        <w:ind w:firstLine="482" w:firstLineChars="200"/>
        <w:jc w:val="left"/>
        <w:rPr>
          <w:b/>
          <w:sz w:val="24"/>
          <w:lang w:bidi="ar"/>
        </w:rPr>
      </w:pPr>
      <w:r>
        <w:rPr>
          <w:rFonts w:hint="eastAsia"/>
          <w:b/>
          <w:sz w:val="24"/>
          <w:lang w:bidi="ar"/>
        </w:rPr>
        <w:t>供应商必须按照竞争性磋商公告的规定，向采购代理机构登记，获得磋商文件；</w:t>
      </w:r>
    </w:p>
    <w:p>
      <w:pPr>
        <w:widowControl/>
        <w:numPr>
          <w:ilvl w:val="0"/>
          <w:numId w:val="2"/>
        </w:numPr>
        <w:adjustRightInd w:val="0"/>
        <w:snapToGrid w:val="0"/>
        <w:spacing w:line="360" w:lineRule="auto"/>
        <w:ind w:firstLine="480" w:firstLineChars="200"/>
        <w:jc w:val="left"/>
        <w:rPr>
          <w:sz w:val="24"/>
          <w:lang w:bidi="ar"/>
        </w:rPr>
      </w:pPr>
      <w:r>
        <w:rPr>
          <w:sz w:val="24"/>
          <w:lang w:bidi="ar"/>
        </w:rPr>
        <w:t>售价：</w:t>
      </w:r>
      <w:r>
        <w:rPr>
          <w:rFonts w:hint="eastAsia"/>
          <w:sz w:val="24"/>
          <w:lang w:bidi="ar"/>
        </w:rPr>
        <w:t>每包人民币500.00元，售后不退</w:t>
      </w:r>
      <w:r>
        <w:rPr>
          <w:sz w:val="24"/>
          <w:lang w:bidi="ar"/>
        </w:rPr>
        <w:t>。</w:t>
      </w:r>
    </w:p>
    <w:p>
      <w:pPr>
        <w:tabs>
          <w:tab w:val="left" w:pos="900"/>
          <w:tab w:val="left" w:pos="1980"/>
        </w:tabs>
        <w:snapToGrid w:val="0"/>
        <w:spacing w:line="360" w:lineRule="auto"/>
        <w:rPr>
          <w:sz w:val="24"/>
        </w:rPr>
      </w:pPr>
    </w:p>
    <w:p>
      <w:pPr>
        <w:pStyle w:val="4"/>
        <w:widowControl/>
        <w:spacing w:before="0" w:line="360" w:lineRule="auto"/>
        <w:jc w:val="left"/>
        <w:rPr>
          <w:rFonts w:ascii="Times New Roman" w:hAnsi="Times New Roman" w:eastAsia="宋体"/>
          <w:sz w:val="24"/>
          <w:szCs w:val="24"/>
        </w:rPr>
      </w:pPr>
      <w:bookmarkStart w:id="19" w:name="_Toc28359005"/>
      <w:bookmarkStart w:id="20" w:name="_Toc28359082"/>
      <w:bookmarkStart w:id="21" w:name="_Toc35393793"/>
      <w:bookmarkStart w:id="22" w:name="_Toc35393624"/>
      <w:r>
        <w:rPr>
          <w:rFonts w:ascii="Times New Roman" w:hAnsi="Times New Roman" w:eastAsia="宋体"/>
          <w:sz w:val="24"/>
          <w:szCs w:val="24"/>
        </w:rPr>
        <w:t>四、</w:t>
      </w:r>
      <w:bookmarkEnd w:id="19"/>
      <w:bookmarkEnd w:id="20"/>
      <w:bookmarkEnd w:id="21"/>
      <w:bookmarkEnd w:id="22"/>
      <w:r>
        <w:rPr>
          <w:rFonts w:ascii="Times New Roman" w:hAnsi="Times New Roman" w:eastAsia="宋体"/>
          <w:sz w:val="24"/>
          <w:szCs w:val="24"/>
        </w:rPr>
        <w:t>响应文件提交</w:t>
      </w:r>
    </w:p>
    <w:p>
      <w:pPr>
        <w:spacing w:line="360" w:lineRule="auto"/>
        <w:ind w:firstLine="480" w:firstLineChars="200"/>
        <w:rPr>
          <w:bCs/>
          <w:sz w:val="24"/>
          <w:u w:val="single"/>
        </w:rPr>
      </w:pPr>
      <w:r>
        <w:rPr>
          <w:sz w:val="24"/>
        </w:rPr>
        <w:t>截止时间：</w:t>
      </w:r>
      <w:r>
        <w:rPr>
          <w:rFonts w:hint="eastAsia"/>
          <w:sz w:val="24"/>
        </w:rPr>
        <w:t>202</w:t>
      </w:r>
      <w:r>
        <w:rPr>
          <w:sz w:val="24"/>
        </w:rPr>
        <w:t>3</w:t>
      </w:r>
      <w:r>
        <w:rPr>
          <w:rFonts w:hint="eastAsia"/>
          <w:sz w:val="24"/>
        </w:rPr>
        <w:t>年8月</w:t>
      </w:r>
      <w:r>
        <w:rPr>
          <w:rFonts w:hint="eastAsia"/>
          <w:sz w:val="24"/>
          <w:lang w:val="en-US" w:eastAsia="zh-CN"/>
        </w:rPr>
        <w:t>21</w:t>
      </w:r>
      <w:r>
        <w:rPr>
          <w:rFonts w:hint="eastAsia"/>
          <w:sz w:val="24"/>
        </w:rPr>
        <w:t>日</w:t>
      </w:r>
      <w:r>
        <w:rPr>
          <w:rFonts w:hint="eastAsia"/>
          <w:sz w:val="24"/>
          <w:lang w:eastAsia="zh-CN"/>
        </w:rPr>
        <w:t>下</w:t>
      </w:r>
      <w:r>
        <w:rPr>
          <w:rFonts w:hint="eastAsia"/>
          <w:sz w:val="24"/>
        </w:rPr>
        <w:t>午</w:t>
      </w:r>
      <w:r>
        <w:rPr>
          <w:rFonts w:hint="eastAsia"/>
          <w:sz w:val="24"/>
          <w:lang w:val="en-US" w:eastAsia="zh-CN"/>
        </w:rPr>
        <w:t>13</w:t>
      </w:r>
      <w:r>
        <w:rPr>
          <w:rFonts w:hint="eastAsia"/>
          <w:sz w:val="24"/>
        </w:rPr>
        <w:t>时</w:t>
      </w:r>
      <w:r>
        <w:rPr>
          <w:rFonts w:hint="eastAsia"/>
          <w:sz w:val="24"/>
          <w:lang w:val="en-US" w:eastAsia="zh-CN"/>
        </w:rPr>
        <w:t>3</w:t>
      </w:r>
      <w:r>
        <w:rPr>
          <w:rFonts w:hint="eastAsia"/>
          <w:sz w:val="24"/>
        </w:rPr>
        <w:t>0分</w:t>
      </w:r>
      <w:r>
        <w:rPr>
          <w:bCs/>
          <w:sz w:val="24"/>
        </w:rPr>
        <w:t>（北京时间）</w:t>
      </w:r>
      <w:r>
        <w:rPr>
          <w:iCs/>
          <w:sz w:val="24"/>
        </w:rPr>
        <w:t>。</w:t>
      </w:r>
    </w:p>
    <w:p>
      <w:pPr>
        <w:spacing w:line="360" w:lineRule="auto"/>
        <w:ind w:firstLine="480" w:firstLineChars="200"/>
        <w:rPr>
          <w:sz w:val="24"/>
          <w:lang w:val="zh-TW"/>
        </w:rPr>
      </w:pPr>
      <w:r>
        <w:rPr>
          <w:sz w:val="24"/>
        </w:rPr>
        <w:t>地点：</w:t>
      </w:r>
      <w:r>
        <w:rPr>
          <w:rFonts w:hint="eastAsia"/>
          <w:sz w:val="24"/>
        </w:rPr>
        <w:t>北京市海淀区学院路30号科大天工大厦A座5层51</w:t>
      </w:r>
      <w:r>
        <w:rPr>
          <w:rFonts w:hint="eastAsia"/>
          <w:sz w:val="24"/>
          <w:lang w:val="en-US" w:eastAsia="zh-CN"/>
        </w:rPr>
        <w:t>1</w:t>
      </w:r>
      <w:r>
        <w:rPr>
          <w:rFonts w:hint="eastAsia"/>
          <w:sz w:val="24"/>
        </w:rPr>
        <w:t>会议室（北四环学院桥东北角）</w:t>
      </w:r>
      <w:r>
        <w:rPr>
          <w:sz w:val="24"/>
          <w:lang w:val="zh-TW"/>
        </w:rPr>
        <w:t>。</w:t>
      </w:r>
    </w:p>
    <w:p>
      <w:pPr>
        <w:spacing w:line="360" w:lineRule="auto"/>
        <w:ind w:firstLine="480" w:firstLineChars="200"/>
        <w:rPr>
          <w:sz w:val="24"/>
          <w:lang w:val="zh-TW"/>
        </w:rPr>
      </w:pPr>
    </w:p>
    <w:p>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五、开启</w:t>
      </w:r>
    </w:p>
    <w:p>
      <w:pPr>
        <w:spacing w:line="360" w:lineRule="auto"/>
        <w:ind w:firstLine="480" w:firstLineChars="200"/>
        <w:rPr>
          <w:bCs/>
          <w:sz w:val="24"/>
          <w:u w:val="single"/>
        </w:rPr>
      </w:pPr>
      <w:r>
        <w:rPr>
          <w:sz w:val="24"/>
        </w:rPr>
        <w:t>时间：</w:t>
      </w:r>
      <w:r>
        <w:rPr>
          <w:rFonts w:hint="eastAsia"/>
          <w:sz w:val="24"/>
        </w:rPr>
        <w:t>202</w:t>
      </w:r>
      <w:r>
        <w:rPr>
          <w:sz w:val="24"/>
        </w:rPr>
        <w:t>3</w:t>
      </w:r>
      <w:r>
        <w:rPr>
          <w:rFonts w:hint="eastAsia"/>
          <w:sz w:val="24"/>
        </w:rPr>
        <w:t>年8月</w:t>
      </w:r>
      <w:r>
        <w:rPr>
          <w:rFonts w:hint="eastAsia"/>
          <w:sz w:val="24"/>
          <w:lang w:val="en-US" w:eastAsia="zh-CN"/>
        </w:rPr>
        <w:t>21</w:t>
      </w:r>
      <w:r>
        <w:rPr>
          <w:rFonts w:hint="eastAsia"/>
          <w:sz w:val="24"/>
        </w:rPr>
        <w:t>日</w:t>
      </w:r>
      <w:r>
        <w:rPr>
          <w:rFonts w:hint="eastAsia"/>
          <w:sz w:val="24"/>
          <w:lang w:eastAsia="zh-CN"/>
        </w:rPr>
        <w:t>下</w:t>
      </w:r>
      <w:r>
        <w:rPr>
          <w:rFonts w:hint="eastAsia"/>
          <w:sz w:val="24"/>
        </w:rPr>
        <w:t>午</w:t>
      </w:r>
      <w:r>
        <w:rPr>
          <w:rFonts w:hint="eastAsia"/>
          <w:sz w:val="24"/>
          <w:lang w:val="en-US" w:eastAsia="zh-CN"/>
        </w:rPr>
        <w:t>13</w:t>
      </w:r>
      <w:r>
        <w:rPr>
          <w:rFonts w:hint="eastAsia"/>
          <w:sz w:val="24"/>
        </w:rPr>
        <w:t>时</w:t>
      </w:r>
      <w:r>
        <w:rPr>
          <w:rFonts w:hint="eastAsia"/>
          <w:sz w:val="24"/>
          <w:lang w:val="en-US" w:eastAsia="zh-CN"/>
        </w:rPr>
        <w:t>3</w:t>
      </w:r>
      <w:r>
        <w:rPr>
          <w:rFonts w:hint="eastAsia"/>
          <w:sz w:val="24"/>
        </w:rPr>
        <w:t>0分</w:t>
      </w:r>
      <w:r>
        <w:rPr>
          <w:bCs/>
          <w:sz w:val="24"/>
        </w:rPr>
        <w:t>（北京时间）</w:t>
      </w:r>
      <w:r>
        <w:rPr>
          <w:iCs/>
          <w:sz w:val="24"/>
        </w:rPr>
        <w:t>。</w:t>
      </w:r>
    </w:p>
    <w:p>
      <w:pPr>
        <w:spacing w:line="360" w:lineRule="auto"/>
        <w:ind w:firstLine="480" w:firstLineChars="200"/>
        <w:rPr>
          <w:sz w:val="24"/>
          <w:lang w:val="zh-TW"/>
        </w:rPr>
      </w:pPr>
      <w:r>
        <w:rPr>
          <w:sz w:val="24"/>
        </w:rPr>
        <w:t>地点：</w:t>
      </w:r>
      <w:r>
        <w:rPr>
          <w:rFonts w:hint="eastAsia"/>
          <w:sz w:val="24"/>
        </w:rPr>
        <w:t>北京市海淀区学院路30号科大天工大厦A座5层51</w:t>
      </w:r>
      <w:r>
        <w:rPr>
          <w:rFonts w:hint="eastAsia"/>
          <w:sz w:val="24"/>
          <w:lang w:val="en-US" w:eastAsia="zh-CN"/>
        </w:rPr>
        <w:t>1</w:t>
      </w:r>
      <w:r>
        <w:rPr>
          <w:rFonts w:hint="eastAsia"/>
          <w:sz w:val="24"/>
        </w:rPr>
        <w:t>会议室（北四环学院桥东北角）</w:t>
      </w:r>
      <w:r>
        <w:rPr>
          <w:sz w:val="24"/>
          <w:lang w:val="zh-TW"/>
        </w:rPr>
        <w:t>。</w:t>
      </w:r>
    </w:p>
    <w:p>
      <w:pPr>
        <w:pStyle w:val="2"/>
      </w:pPr>
    </w:p>
    <w:p>
      <w:pPr>
        <w:pStyle w:val="4"/>
        <w:spacing w:before="0" w:line="360" w:lineRule="auto"/>
        <w:jc w:val="left"/>
        <w:rPr>
          <w:rFonts w:ascii="Times New Roman" w:hAnsi="Times New Roman" w:eastAsia="宋体"/>
          <w:sz w:val="24"/>
          <w:szCs w:val="24"/>
        </w:rPr>
      </w:pPr>
      <w:bookmarkStart w:id="23" w:name="_Toc28359007"/>
      <w:bookmarkStart w:id="24" w:name="_Toc35393794"/>
      <w:bookmarkStart w:id="25" w:name="_Toc35393625"/>
      <w:bookmarkStart w:id="26" w:name="_Toc28359084"/>
      <w:r>
        <w:rPr>
          <w:rFonts w:ascii="Times New Roman" w:hAnsi="Times New Roman" w:eastAsia="宋体"/>
          <w:sz w:val="24"/>
          <w:szCs w:val="24"/>
        </w:rPr>
        <w:t>六、公告期限</w:t>
      </w:r>
      <w:bookmarkEnd w:id="23"/>
      <w:bookmarkEnd w:id="24"/>
      <w:bookmarkEnd w:id="25"/>
      <w:bookmarkEnd w:id="26"/>
    </w:p>
    <w:p>
      <w:pPr>
        <w:spacing w:line="360" w:lineRule="auto"/>
        <w:ind w:firstLine="480" w:firstLineChars="200"/>
        <w:rPr>
          <w:kern w:val="0"/>
          <w:sz w:val="24"/>
        </w:rPr>
      </w:pPr>
      <w:r>
        <w:rPr>
          <w:kern w:val="0"/>
          <w:sz w:val="24"/>
        </w:rPr>
        <w:t>自本公告发布之日起3个工作日。</w:t>
      </w:r>
    </w:p>
    <w:p>
      <w:pPr>
        <w:spacing w:line="360" w:lineRule="auto"/>
        <w:ind w:firstLine="480" w:firstLineChars="200"/>
        <w:rPr>
          <w:kern w:val="0"/>
          <w:sz w:val="24"/>
        </w:rPr>
      </w:pPr>
    </w:p>
    <w:p>
      <w:pPr>
        <w:pStyle w:val="4"/>
        <w:spacing w:before="0" w:line="360" w:lineRule="auto"/>
        <w:jc w:val="left"/>
        <w:rPr>
          <w:rFonts w:ascii="Times New Roman" w:hAnsi="Times New Roman" w:eastAsia="宋体"/>
          <w:sz w:val="24"/>
          <w:szCs w:val="24"/>
        </w:rPr>
      </w:pPr>
      <w:bookmarkStart w:id="27" w:name="_Toc35393626"/>
      <w:bookmarkStart w:id="28" w:name="_Toc35393795"/>
      <w:r>
        <w:rPr>
          <w:rFonts w:ascii="Times New Roman" w:hAnsi="Times New Roman" w:eastAsia="宋体"/>
          <w:sz w:val="24"/>
          <w:szCs w:val="24"/>
        </w:rPr>
        <w:t>七、其他补充事宜</w:t>
      </w:r>
      <w:bookmarkEnd w:id="27"/>
      <w:bookmarkEnd w:id="28"/>
    </w:p>
    <w:p>
      <w:pPr>
        <w:spacing w:line="360" w:lineRule="auto"/>
        <w:ind w:left="1" w:firstLine="480" w:firstLineChars="200"/>
        <w:rPr>
          <w:rFonts w:ascii="宋体" w:hAnsi="宋体"/>
          <w:sz w:val="24"/>
        </w:rPr>
      </w:pPr>
      <w:bookmarkStart w:id="29" w:name="_Toc28359085"/>
      <w:bookmarkStart w:id="30" w:name="_Toc35393627"/>
      <w:bookmarkStart w:id="31" w:name="_Toc35393796"/>
      <w:bookmarkStart w:id="32" w:name="_Toc28359008"/>
      <w:r>
        <w:rPr>
          <w:rFonts w:hint="eastAsia" w:ascii="宋体" w:hAnsi="宋体"/>
          <w:sz w:val="24"/>
        </w:rPr>
        <w:t>1.本项目需要落实的政府采购政策：</w:t>
      </w:r>
      <w:r>
        <w:rPr>
          <w:rFonts w:hint="eastAsia" w:ascii="宋体" w:hAnsi="宋体"/>
          <w:sz w:val="24"/>
          <w:u w:val="single"/>
        </w:rPr>
        <w:t>促进中小企业、监狱企业、残疾人福利性单位发展、节能环保等</w:t>
      </w:r>
      <w:r>
        <w:rPr>
          <w:rFonts w:hint="eastAsia" w:ascii="宋体" w:hAnsi="宋体"/>
          <w:sz w:val="24"/>
        </w:rPr>
        <w:t xml:space="preserve">。 </w:t>
      </w:r>
    </w:p>
    <w:p>
      <w:pPr>
        <w:spacing w:line="360" w:lineRule="auto"/>
        <w:ind w:firstLine="480" w:firstLineChars="200"/>
        <w:rPr>
          <w:sz w:val="24"/>
        </w:rPr>
      </w:pPr>
      <w:r>
        <w:rPr>
          <w:sz w:val="24"/>
        </w:rPr>
        <w:t>2.本项目的采购年限为</w:t>
      </w:r>
      <w:r>
        <w:rPr>
          <w:rFonts w:hint="eastAsia"/>
          <w:sz w:val="24"/>
          <w:u w:val="single"/>
        </w:rPr>
        <w:t xml:space="preserve"> / </w:t>
      </w:r>
      <w:r>
        <w:rPr>
          <w:sz w:val="24"/>
        </w:rPr>
        <w:t>年、</w:t>
      </w:r>
      <w:r>
        <w:rPr>
          <w:rFonts w:hint="eastAsia"/>
          <w:sz w:val="24"/>
        </w:rPr>
        <w:t>预算</w:t>
      </w:r>
      <w:r>
        <w:rPr>
          <w:sz w:val="24"/>
        </w:rPr>
        <w:t>金额为</w:t>
      </w:r>
      <w:r>
        <w:rPr>
          <w:rFonts w:hint="eastAsia"/>
          <w:sz w:val="24"/>
          <w:u w:val="single"/>
        </w:rPr>
        <w:t xml:space="preserve"> / </w:t>
      </w:r>
      <w:r>
        <w:rPr>
          <w:sz w:val="24"/>
        </w:rPr>
        <w:t>万元、当年安排数为</w:t>
      </w:r>
      <w:r>
        <w:rPr>
          <w:rFonts w:hint="eastAsia"/>
          <w:sz w:val="24"/>
          <w:u w:val="single"/>
        </w:rPr>
        <w:t xml:space="preserve"> / </w:t>
      </w:r>
      <w:r>
        <w:rPr>
          <w:sz w:val="24"/>
        </w:rPr>
        <w:t>万元。</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.注意事项：</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.1供应商不得拆包磋商。</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2供应商在获取采购文件时须明确登记并只能按磋商前所登记的包号进行磋商。供应商在获取采购文件后，如果决定增加或更改所投包号，务必在购买文件截止时间前补齐相关费用并书面通知项目负责人，否则供应商将无权对所增加或更改的包号进行磋商。</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3进口产品是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.4响应文件请于开启当日（响应文件提交截止时间之前）递交至开启地点，逾期递交文件恕不接受。</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.5</w:t>
      </w:r>
      <w:r>
        <w:rPr>
          <w:rFonts w:hint="eastAsia" w:ascii="宋体" w:hAnsi="宋体"/>
          <w:sz w:val="24"/>
        </w:rPr>
        <w:t>届时请供应商派代表参加磋商,且需携带本人身份证。参与磋商的人员应佩戴口罩、携带身份证。请各供应商提前做好相应准备，预留充足时间，避免递交文件迟到</w:t>
      </w:r>
      <w:r>
        <w:rPr>
          <w:rFonts w:hint="eastAsia"/>
          <w:sz w:val="24"/>
          <w:lang w:bidi="ar"/>
        </w:rPr>
        <w:t>。</w:t>
      </w:r>
    </w:p>
    <w:p>
      <w:pPr>
        <w:spacing w:line="360" w:lineRule="auto"/>
        <w:ind w:left="1" w:firstLine="480" w:firstLineChars="200"/>
        <w:rPr>
          <w:rFonts w:ascii="宋体" w:hAnsi="宋体"/>
          <w:sz w:val="24"/>
        </w:rPr>
      </w:pPr>
      <w:r>
        <w:rPr>
          <w:rFonts w:hint="eastAsia" w:ascii="宋体" w:hAnsi="宋体"/>
          <w:sz w:val="24"/>
        </w:rPr>
        <w:t>3.6最终响应文件提交截止时间和开启时间为同一时间，最后报价提交截止时间和开启时间也为同一时间，由磋商小组根据磋商情况现场确定。最终响应文件和最后报价提交、开启地点同首次响应文件提交、开启地点。</w:t>
      </w:r>
    </w:p>
    <w:p>
      <w:pPr>
        <w:spacing w:line="360" w:lineRule="auto"/>
        <w:ind w:left="1" w:firstLine="480" w:firstLineChars="200"/>
        <w:rPr>
          <w:rFonts w:ascii="宋体" w:hAnsi="宋体"/>
          <w:sz w:val="24"/>
        </w:rPr>
      </w:pPr>
      <w:r>
        <w:rPr>
          <w:rFonts w:hint="eastAsia" w:ascii="宋体" w:hAnsi="宋体"/>
          <w:sz w:val="24"/>
        </w:rPr>
        <w:t>4.本项目的采购公告仅在中国政府采购网(www.ccgp.gov.cn)上发布。</w:t>
      </w:r>
    </w:p>
    <w:p>
      <w:pPr>
        <w:spacing w:line="360" w:lineRule="auto"/>
        <w:ind w:left="1" w:firstLine="480" w:firstLineChars="200"/>
      </w:pPr>
      <w:r>
        <w:rPr>
          <w:rFonts w:hint="eastAsia" w:ascii="宋体" w:hAnsi="宋体"/>
          <w:sz w:val="24"/>
        </w:rPr>
        <w:t>5.如本公告内容和磋商文件内容不一致，以磋商文件为准。</w:t>
      </w:r>
    </w:p>
    <w:p>
      <w:pPr>
        <w:spacing w:line="360" w:lineRule="auto"/>
        <w:ind w:left="1" w:firstLine="480" w:firstLineChars="200"/>
        <w:rPr>
          <w:rFonts w:ascii="宋体" w:hAnsi="宋体"/>
          <w:sz w:val="24"/>
        </w:rPr>
      </w:pPr>
      <w:r>
        <w:rPr>
          <w:rFonts w:hint="eastAsia" w:ascii="宋体" w:hAnsi="宋体"/>
          <w:sz w:val="24"/>
        </w:rPr>
        <w:t>6.本项目评审方法和标准：综合评分法，总分100分。</w:t>
      </w:r>
    </w:p>
    <w:p>
      <w:pPr>
        <w:pStyle w:val="99"/>
        <w:spacing w:line="360" w:lineRule="auto"/>
        <w:ind w:firstLine="480"/>
        <w:rPr>
          <w:rFonts w:ascii="宋体" w:hAnsi="宋体"/>
          <w:color w:val="000000"/>
          <w:sz w:val="24"/>
        </w:rPr>
      </w:pPr>
      <w:r>
        <w:rPr>
          <w:rFonts w:hint="eastAsia" w:ascii="宋体" w:hAnsi="宋体"/>
          <w:sz w:val="24"/>
        </w:rPr>
        <w:t>7.投标保证金:</w:t>
      </w:r>
      <w:r>
        <w:rPr>
          <w:rFonts w:hint="eastAsia"/>
        </w:rPr>
        <w:t xml:space="preserve"> </w:t>
      </w:r>
      <w:r>
        <w:rPr>
          <w:rFonts w:hint="eastAsia" w:ascii="宋体" w:hAnsi="宋体"/>
          <w:sz w:val="24"/>
        </w:rPr>
        <w:t>电汇、支票、汇票、转账支票或政府采购投标担保函，同时可接收电子保函。</w:t>
      </w:r>
    </w:p>
    <w:p>
      <w:pPr>
        <w:spacing w:line="360" w:lineRule="auto"/>
        <w:ind w:left="1" w:firstLine="480" w:firstLineChars="200"/>
        <w:rPr>
          <w:rFonts w:ascii="宋体" w:hAnsi="宋体"/>
          <w:color w:val="FFFFFF"/>
          <w:sz w:val="24"/>
        </w:rPr>
      </w:pPr>
      <w:r>
        <w:rPr>
          <w:rFonts w:hint="eastAsia" w:ascii="宋体" w:hAnsi="宋体"/>
          <w:color w:val="000000"/>
          <w:sz w:val="24"/>
        </w:rPr>
        <w:t>银行账户信息，标书款、响应保证金及代理服务费收取的唯一账户：汇款或转账时请务必附言“项目编号+用途”，例如：2</w:t>
      </w:r>
      <w:r>
        <w:rPr>
          <w:rFonts w:ascii="宋体" w:hAnsi="宋体"/>
          <w:color w:val="000000"/>
          <w:sz w:val="24"/>
        </w:rPr>
        <w:t>3</w:t>
      </w:r>
      <w:r>
        <w:rPr>
          <w:rFonts w:hint="eastAsia" w:ascii="宋体" w:hAnsi="宋体"/>
          <w:color w:val="000000"/>
          <w:sz w:val="24"/>
        </w:rPr>
        <w:t>ZB03</w:t>
      </w:r>
      <w:r>
        <w:rPr>
          <w:rFonts w:hint="eastAsia" w:ascii="宋体" w:hAnsi="宋体"/>
          <w:color w:val="000000"/>
          <w:sz w:val="24"/>
          <w:lang w:val="en-US" w:eastAsia="zh-CN"/>
        </w:rPr>
        <w:t>47</w:t>
      </w:r>
      <w:r>
        <w:rPr>
          <w:rFonts w:hint="eastAsia" w:ascii="宋体" w:hAnsi="宋体"/>
          <w:color w:val="000000"/>
          <w:sz w:val="24"/>
        </w:rPr>
        <w:t>保证金或服务费。</w:t>
      </w:r>
      <w:r>
        <w:rPr>
          <w:rFonts w:hint="eastAsia" w:ascii="宋体" w:hAnsi="宋体"/>
          <w:color w:val="FFFFFF"/>
          <w:sz w:val="24"/>
        </w:rPr>
        <w:t>或标书款。</w:t>
      </w:r>
    </w:p>
    <w:p>
      <w:pPr>
        <w:spacing w:line="360" w:lineRule="auto"/>
        <w:ind w:left="1" w:firstLine="480" w:firstLineChars="200"/>
        <w:rPr>
          <w:rFonts w:ascii="宋体" w:hAnsi="宋体"/>
          <w:sz w:val="24"/>
        </w:rPr>
      </w:pPr>
      <w:r>
        <w:rPr>
          <w:rFonts w:hint="eastAsia" w:ascii="宋体" w:hAnsi="宋体"/>
          <w:sz w:val="24"/>
        </w:rPr>
        <w:t>收款单位：北京国际工程咨询有限公司；</w:t>
      </w:r>
    </w:p>
    <w:p>
      <w:pPr>
        <w:spacing w:line="360" w:lineRule="auto"/>
        <w:ind w:left="1" w:firstLine="480" w:firstLineChars="200"/>
        <w:rPr>
          <w:rFonts w:ascii="宋体" w:hAnsi="宋体"/>
          <w:sz w:val="24"/>
        </w:rPr>
      </w:pPr>
      <w:r>
        <w:rPr>
          <w:rFonts w:hint="eastAsia" w:ascii="宋体" w:hAnsi="宋体"/>
          <w:sz w:val="24"/>
        </w:rPr>
        <w:t xml:space="preserve">开户行：华夏银行北京学院路支行； </w:t>
      </w:r>
    </w:p>
    <w:p>
      <w:pPr>
        <w:spacing w:line="360" w:lineRule="auto"/>
        <w:ind w:left="1" w:firstLine="480" w:firstLineChars="200"/>
        <w:rPr>
          <w:rFonts w:ascii="宋体" w:hAnsi="宋体"/>
          <w:sz w:val="24"/>
        </w:rPr>
      </w:pPr>
      <w:r>
        <w:rPr>
          <w:rFonts w:hint="eastAsia" w:ascii="宋体" w:hAnsi="宋体"/>
          <w:sz w:val="24"/>
        </w:rPr>
        <w:t>账号：10242000000002546。</w:t>
      </w:r>
    </w:p>
    <w:p>
      <w:pPr>
        <w:spacing w:line="360" w:lineRule="auto"/>
        <w:ind w:left="1" w:firstLine="480" w:firstLineChars="200"/>
        <w:rPr>
          <w:rFonts w:ascii="宋体" w:hAnsi="宋体"/>
          <w:sz w:val="24"/>
        </w:rPr>
      </w:pPr>
      <w:r>
        <w:rPr>
          <w:rFonts w:hint="eastAsia" w:ascii="宋体" w:hAnsi="宋体"/>
          <w:sz w:val="24"/>
        </w:rPr>
        <w:t>8.质疑方式联系人和联系电话：投标人认为采购文件、采购过程和中标、成交结果使自己的权益受到损害的，可以在知道或者应知其权益受到损害之日起七个工作日内，以书面形式向采购人提出质疑。</w:t>
      </w:r>
    </w:p>
    <w:p>
      <w:pPr>
        <w:pStyle w:val="99"/>
        <w:spacing w:line="360" w:lineRule="auto"/>
        <w:ind w:left="420" w:firstLine="0" w:firstLineChars="0"/>
        <w:rPr>
          <w:rFonts w:ascii="宋体" w:hAnsi="宋体"/>
          <w:sz w:val="24"/>
          <w:szCs w:val="24"/>
        </w:rPr>
      </w:pPr>
      <w:r>
        <w:rPr>
          <w:rFonts w:hint="eastAsia" w:ascii="宋体" w:hAnsi="宋体"/>
          <w:sz w:val="24"/>
          <w:szCs w:val="24"/>
        </w:rPr>
        <w:t>联系人：北京国际工程咨询有限公司     联系电话：010- 82370620</w:t>
      </w:r>
    </w:p>
    <w:p>
      <w:pPr>
        <w:pStyle w:val="99"/>
        <w:spacing w:line="360" w:lineRule="auto"/>
        <w:ind w:left="420" w:firstLine="0" w:firstLineChars="0"/>
        <w:rPr>
          <w:rFonts w:ascii="宋体" w:hAnsi="宋体"/>
          <w:sz w:val="24"/>
          <w:szCs w:val="24"/>
        </w:rPr>
      </w:pPr>
      <w:r>
        <w:rPr>
          <w:rFonts w:hint="eastAsia" w:ascii="宋体" w:hAnsi="宋体"/>
          <w:sz w:val="24"/>
          <w:szCs w:val="24"/>
        </w:rPr>
        <w:t>地址：北京市海淀区学院路30号科大天工大厦A座6层</w:t>
      </w:r>
    </w:p>
    <w:p>
      <w:pPr>
        <w:pStyle w:val="99"/>
        <w:spacing w:line="360" w:lineRule="auto"/>
        <w:ind w:firstLine="480"/>
      </w:pPr>
      <w:r>
        <w:rPr>
          <w:rFonts w:hint="eastAsia" w:ascii="宋体" w:hAnsi="宋体"/>
          <w:sz w:val="24"/>
          <w:szCs w:val="24"/>
        </w:rPr>
        <w:t>9.投诉处理方式：按照中华人民共和国财政部令第94号《政府采购质疑和投诉办法》的要求可以向北京市房山区财政局政府采购办公室进行投诉。</w:t>
      </w:r>
    </w:p>
    <w:p>
      <w:pPr>
        <w:pStyle w:val="34"/>
      </w:pPr>
    </w:p>
    <w:p>
      <w:pPr>
        <w:pStyle w:val="4"/>
        <w:spacing w:before="0" w:line="360" w:lineRule="auto"/>
        <w:jc w:val="left"/>
        <w:rPr>
          <w:rFonts w:ascii="Times New Roman" w:hAnsi="Times New Roman"/>
          <w:sz w:val="24"/>
          <w:szCs w:val="24"/>
        </w:rPr>
      </w:pPr>
      <w:r>
        <w:rPr>
          <w:rFonts w:ascii="Times New Roman" w:hAnsi="Times New Roman" w:eastAsia="宋体"/>
          <w:sz w:val="24"/>
          <w:szCs w:val="24"/>
        </w:rPr>
        <w:t>八、对本项目提出询问，请按以下方式联系。</w:t>
      </w:r>
      <w:bookmarkEnd w:id="29"/>
      <w:bookmarkEnd w:id="30"/>
      <w:bookmarkEnd w:id="31"/>
      <w:bookmarkEnd w:id="32"/>
    </w:p>
    <w:p>
      <w:pPr>
        <w:widowControl/>
        <w:spacing w:line="360" w:lineRule="auto"/>
        <w:jc w:val="left"/>
        <w:rPr>
          <w:b/>
          <w:sz w:val="24"/>
        </w:rPr>
      </w:pPr>
      <w:r>
        <w:rPr>
          <w:sz w:val="24"/>
        </w:rPr>
        <w:t>　　　</w:t>
      </w:r>
      <w:r>
        <w:rPr>
          <w:b/>
          <w:sz w:val="24"/>
        </w:rPr>
        <w:t>1.采购人信息</w:t>
      </w:r>
    </w:p>
    <w:p>
      <w:pPr>
        <w:spacing w:line="360" w:lineRule="auto"/>
        <w:ind w:left="1079" w:leftChars="371" w:hanging="300" w:hangingChars="125"/>
        <w:jc w:val="left"/>
        <w:rPr>
          <w:sz w:val="24"/>
        </w:rPr>
      </w:pPr>
      <w:bookmarkStart w:id="33" w:name="_Toc28359086"/>
      <w:bookmarkStart w:id="34" w:name="_Toc28359009"/>
      <w:r>
        <w:rPr>
          <w:sz w:val="24"/>
        </w:rPr>
        <w:t>名    称：</w:t>
      </w:r>
      <w:r>
        <w:rPr>
          <w:rFonts w:hint="eastAsia"/>
          <w:sz w:val="24"/>
          <w:u w:val="single"/>
        </w:rPr>
        <w:t>北京市房山区教育委员会</w:t>
      </w:r>
    </w:p>
    <w:p>
      <w:pPr>
        <w:spacing w:line="360" w:lineRule="auto"/>
        <w:ind w:left="1079" w:leftChars="371" w:hanging="300" w:hangingChars="125"/>
        <w:jc w:val="left"/>
        <w:rPr>
          <w:sz w:val="24"/>
        </w:rPr>
      </w:pPr>
      <w:r>
        <w:rPr>
          <w:rFonts w:hint="eastAsia"/>
          <w:sz w:val="24"/>
        </w:rPr>
        <w:t>地    址：</w:t>
      </w:r>
      <w:r>
        <w:rPr>
          <w:rFonts w:hint="eastAsia"/>
          <w:sz w:val="24"/>
          <w:u w:val="single"/>
        </w:rPr>
        <w:t>北京市房山区良乡西路9号</w:t>
      </w:r>
    </w:p>
    <w:p>
      <w:pPr>
        <w:spacing w:line="360" w:lineRule="auto"/>
        <w:ind w:left="1079" w:leftChars="371" w:hanging="300" w:hangingChars="125"/>
        <w:jc w:val="left"/>
        <w:rPr>
          <w:sz w:val="24"/>
        </w:rPr>
      </w:pPr>
      <w:r>
        <w:rPr>
          <w:rFonts w:hint="eastAsia"/>
          <w:sz w:val="24"/>
        </w:rPr>
        <w:t>联系方式：</w:t>
      </w:r>
      <w:r>
        <w:rPr>
          <w:rFonts w:hint="eastAsia"/>
          <w:sz w:val="24"/>
          <w:highlight w:val="none"/>
          <w:u w:val="single"/>
          <w:lang w:val="en-US" w:eastAsia="zh-CN"/>
        </w:rPr>
        <w:t>李</w:t>
      </w:r>
      <w:r>
        <w:rPr>
          <w:rFonts w:hint="eastAsia"/>
          <w:sz w:val="24"/>
          <w:highlight w:val="none"/>
          <w:u w:val="single"/>
        </w:rPr>
        <w:t>老师，010-69315920</w:t>
      </w:r>
    </w:p>
    <w:p>
      <w:pPr>
        <w:spacing w:line="360" w:lineRule="auto"/>
        <w:ind w:left="1080" w:leftChars="371" w:hanging="301" w:hangingChars="125"/>
        <w:jc w:val="left"/>
        <w:rPr>
          <w:b/>
          <w:sz w:val="24"/>
        </w:rPr>
      </w:pPr>
      <w:r>
        <w:rPr>
          <w:b/>
          <w:sz w:val="24"/>
        </w:rPr>
        <w:t>2.采购代理机构信息</w:t>
      </w:r>
      <w:bookmarkEnd w:id="33"/>
      <w:bookmarkEnd w:id="34"/>
    </w:p>
    <w:p>
      <w:pPr>
        <w:spacing w:line="360" w:lineRule="auto"/>
        <w:ind w:left="1076" w:leftChars="371" w:hanging="297" w:hangingChars="124"/>
        <w:jc w:val="left"/>
        <w:rPr>
          <w:sz w:val="24"/>
        </w:rPr>
      </w:pPr>
      <w:bookmarkStart w:id="35" w:name="_Toc28359087"/>
      <w:bookmarkStart w:id="36" w:name="_Toc28359010"/>
      <w:r>
        <w:rPr>
          <w:sz w:val="24"/>
        </w:rPr>
        <w:t>名    称：</w:t>
      </w:r>
      <w:r>
        <w:rPr>
          <w:rFonts w:hint="eastAsia"/>
          <w:sz w:val="24"/>
          <w:u w:val="single"/>
        </w:rPr>
        <w:t>北京国际工程咨询有限公司</w:t>
      </w:r>
    </w:p>
    <w:p>
      <w:pPr>
        <w:spacing w:line="360" w:lineRule="auto"/>
        <w:ind w:left="1076" w:leftChars="371" w:hanging="297" w:hangingChars="124"/>
        <w:jc w:val="left"/>
        <w:rPr>
          <w:sz w:val="24"/>
        </w:rPr>
      </w:pPr>
      <w:r>
        <w:rPr>
          <w:sz w:val="24"/>
        </w:rPr>
        <w:t>地    址：</w:t>
      </w:r>
      <w:r>
        <w:rPr>
          <w:rFonts w:hint="eastAsia"/>
          <w:sz w:val="24"/>
          <w:u w:val="single"/>
        </w:rPr>
        <w:t>北京市海淀区学院路30号科大天工大厦A座</w:t>
      </w:r>
    </w:p>
    <w:p>
      <w:pPr>
        <w:spacing w:line="360" w:lineRule="auto"/>
        <w:ind w:left="1076" w:leftChars="371" w:hanging="297" w:hangingChars="124"/>
        <w:jc w:val="left"/>
        <w:rPr>
          <w:sz w:val="24"/>
          <w:u w:val="single"/>
        </w:rPr>
      </w:pPr>
      <w:r>
        <w:rPr>
          <w:sz w:val="24"/>
        </w:rPr>
        <w:t>联系方式：</w:t>
      </w:r>
      <w:r>
        <w:rPr>
          <w:rFonts w:hint="eastAsia"/>
          <w:sz w:val="24"/>
          <w:u w:val="single"/>
        </w:rPr>
        <w:t>王经理，</w:t>
      </w:r>
      <w:r>
        <w:rPr>
          <w:sz w:val="24"/>
          <w:u w:val="single"/>
        </w:rPr>
        <w:t>010-</w:t>
      </w:r>
      <w:r>
        <w:rPr>
          <w:rFonts w:hint="eastAsia"/>
          <w:sz w:val="24"/>
          <w:u w:val="single"/>
        </w:rPr>
        <w:t>8237</w:t>
      </w:r>
      <w:r>
        <w:rPr>
          <w:sz w:val="24"/>
          <w:u w:val="single"/>
        </w:rPr>
        <w:t>0620</w:t>
      </w:r>
    </w:p>
    <w:p>
      <w:pPr>
        <w:spacing w:line="360" w:lineRule="auto"/>
        <w:ind w:left="1078" w:leftChars="371" w:hanging="299" w:hangingChars="124"/>
        <w:rPr>
          <w:b/>
          <w:sz w:val="24"/>
          <w:u w:val="single"/>
        </w:rPr>
      </w:pPr>
      <w:r>
        <w:rPr>
          <w:b/>
          <w:sz w:val="24"/>
        </w:rPr>
        <w:t>3.项目联系方式</w:t>
      </w:r>
      <w:bookmarkEnd w:id="35"/>
      <w:bookmarkEnd w:id="36"/>
    </w:p>
    <w:p>
      <w:pPr>
        <w:pStyle w:val="23"/>
        <w:spacing w:line="360" w:lineRule="auto"/>
        <w:ind w:left="1076" w:leftChars="371" w:hanging="297" w:hangingChars="124"/>
        <w:rPr>
          <w:rFonts w:hint="default" w:ascii="Times New Roman" w:hAnsi="Times New Roman"/>
          <w:sz w:val="24"/>
          <w:u w:val="single"/>
        </w:rPr>
      </w:pPr>
      <w:r>
        <w:rPr>
          <w:rFonts w:hint="default" w:ascii="Times New Roman" w:hAnsi="Times New Roman"/>
          <w:sz w:val="24"/>
          <w:szCs w:val="24"/>
        </w:rPr>
        <w:t>项目联系人：</w:t>
      </w:r>
      <w:r>
        <w:rPr>
          <w:sz w:val="24"/>
          <w:u w:val="single"/>
        </w:rPr>
        <w:t xml:space="preserve">王经理 </w:t>
      </w:r>
    </w:p>
    <w:p>
      <w:pPr>
        <w:pStyle w:val="23"/>
        <w:spacing w:line="360" w:lineRule="auto"/>
        <w:ind w:left="1076" w:leftChars="371" w:hanging="297" w:hangingChars="124"/>
        <w:rPr>
          <w:rFonts w:hint="default" w:ascii="Times New Roman" w:hAnsi="Times New Roman"/>
          <w:sz w:val="24"/>
          <w:szCs w:val="24"/>
        </w:rPr>
      </w:pPr>
      <w:r>
        <w:rPr>
          <w:rFonts w:hint="default" w:ascii="Times New Roman" w:hAnsi="Times New Roman"/>
          <w:sz w:val="24"/>
        </w:rPr>
        <w:t>电      话：</w:t>
      </w:r>
      <w:r>
        <w:rPr>
          <w:rFonts w:ascii="Times New Roman" w:hAnsi="Times New Roman"/>
          <w:sz w:val="24"/>
          <w:szCs w:val="24"/>
          <w:u w:val="single"/>
        </w:rPr>
        <w:t>010- 8237</w:t>
      </w:r>
      <w:r>
        <w:rPr>
          <w:rFonts w:hint="default" w:ascii="Times New Roman" w:hAnsi="Times New Roman"/>
          <w:sz w:val="24"/>
          <w:szCs w:val="24"/>
          <w:u w:val="single"/>
        </w:rPr>
        <w:t>0620</w:t>
      </w:r>
    </w:p>
    <w:p>
      <w:pPr>
        <w:widowControl/>
        <w:jc w:val="left"/>
        <w:rPr>
          <w:b/>
          <w:sz w:val="36"/>
          <w:szCs w:val="36"/>
        </w:rPr>
      </w:pPr>
      <w:bookmarkStart w:id="37" w:name="_Toc127151777"/>
      <w:bookmarkStart w:id="38" w:name="_Toc127161488"/>
      <w:bookmarkStart w:id="39" w:name="_Toc265228423"/>
      <w:bookmarkStart w:id="40" w:name="_Toc264969275"/>
      <w:bookmarkStart w:id="41" w:name="_Toc305158928"/>
      <w:bookmarkStart w:id="42" w:name="_Toc150774783"/>
      <w:bookmarkStart w:id="43" w:name="_Toc512937850"/>
      <w:bookmarkStart w:id="44" w:name="_Toc353873938"/>
      <w:bookmarkStart w:id="45" w:name="_Toc305158854"/>
      <w:bookmarkStart w:id="46" w:name="_Toc195842950"/>
      <w:bookmarkStart w:id="47" w:name="_Toc226965856"/>
      <w:bookmarkStart w:id="48" w:name="_Toc353825548"/>
      <w:r>
        <w:rPr>
          <w:b/>
          <w:sz w:val="36"/>
          <w:szCs w:val="36"/>
        </w:rPr>
        <w:br w:type="page"/>
      </w:r>
    </w:p>
    <w:p>
      <w:pPr>
        <w:spacing w:line="360" w:lineRule="auto"/>
        <w:jc w:val="center"/>
        <w:outlineLvl w:val="0"/>
        <w:rPr>
          <w:b/>
          <w:sz w:val="32"/>
          <w:szCs w:val="32"/>
        </w:rPr>
      </w:pPr>
      <w:bookmarkStart w:id="49" w:name="_Toc4457"/>
      <w:r>
        <w:rPr>
          <w:b/>
          <w:sz w:val="36"/>
          <w:szCs w:val="36"/>
        </w:rPr>
        <w:t>第二章   供应商须知</w:t>
      </w:r>
      <w:bookmarkEnd w:id="37"/>
      <w:bookmarkEnd w:id="38"/>
      <w:bookmarkEnd w:id="39"/>
      <w:bookmarkEnd w:id="40"/>
      <w:bookmarkEnd w:id="41"/>
      <w:bookmarkEnd w:id="42"/>
      <w:bookmarkEnd w:id="43"/>
      <w:bookmarkEnd w:id="44"/>
      <w:bookmarkEnd w:id="45"/>
      <w:bookmarkEnd w:id="46"/>
      <w:bookmarkEnd w:id="47"/>
      <w:bookmarkEnd w:id="48"/>
      <w:bookmarkEnd w:id="49"/>
    </w:p>
    <w:p>
      <w:pPr>
        <w:pStyle w:val="4"/>
        <w:tabs>
          <w:tab w:val="center" w:pos="4592"/>
          <w:tab w:val="left" w:pos="7860"/>
        </w:tabs>
        <w:spacing w:before="0" w:line="360" w:lineRule="auto"/>
        <w:rPr>
          <w:rFonts w:ascii="Times New Roman" w:hAnsi="Times New Roman" w:eastAsia="宋体"/>
          <w:b w:val="0"/>
          <w:sz w:val="28"/>
        </w:rPr>
      </w:pPr>
      <w:bookmarkStart w:id="50" w:name="_Toc226337215"/>
      <w:bookmarkStart w:id="51" w:name="_Toc151193689"/>
      <w:bookmarkStart w:id="52" w:name="_Toc150480757"/>
      <w:bookmarkStart w:id="53" w:name="_Toc151193761"/>
      <w:bookmarkStart w:id="54" w:name="_Toc195842884"/>
      <w:bookmarkStart w:id="55" w:name="_Toc149720812"/>
      <w:bookmarkStart w:id="56" w:name="_Toc226965792"/>
      <w:bookmarkStart w:id="57" w:name="_Toc127161433"/>
      <w:bookmarkStart w:id="58" w:name="_Toc151190146"/>
      <w:bookmarkStart w:id="59" w:name="_Toc151193617"/>
      <w:bookmarkStart w:id="60" w:name="_Toc150774619"/>
      <w:bookmarkStart w:id="61" w:name="_Toc164608633"/>
      <w:bookmarkStart w:id="62" w:name="_Toc226965709"/>
      <w:bookmarkStart w:id="63" w:name="_Toc520356144"/>
      <w:bookmarkStart w:id="64" w:name="_Toc142311021"/>
      <w:bookmarkStart w:id="65" w:name="_Toc150509270"/>
      <w:bookmarkStart w:id="66" w:name="_Toc150774724"/>
      <w:bookmarkStart w:id="67" w:name="_Toc164351613"/>
      <w:bookmarkStart w:id="68" w:name="_Toc164229360"/>
      <w:bookmarkStart w:id="69" w:name="_Toc151193907"/>
      <w:bookmarkStart w:id="70" w:name="_Toc164608788"/>
      <w:bookmarkStart w:id="71" w:name="_Toc151193833"/>
      <w:bookmarkStart w:id="72" w:name="_Toc127151519"/>
      <w:bookmarkStart w:id="73" w:name="_Toc226309763"/>
      <w:bookmarkStart w:id="74" w:name="_Toc164229214"/>
      <w:bookmarkStart w:id="75" w:name="_Toc127151720"/>
      <w:r>
        <w:rPr>
          <w:rFonts w:ascii="Times New Roman" w:hAnsi="Times New Roman" w:eastAsia="宋体"/>
          <w:sz w:val="28"/>
        </w:rPr>
        <w:t>供应商须知资料表</w:t>
      </w:r>
    </w:p>
    <w:p>
      <w:pPr>
        <w:jc w:val="center"/>
        <w:rPr>
          <w:b/>
          <w:sz w:val="28"/>
          <w:szCs w:val="28"/>
        </w:rPr>
      </w:pPr>
    </w:p>
    <w:p>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5"/>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435"/>
        <w:gridCol w:w="7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51" w:type="dxa"/>
            <w:vAlign w:val="center"/>
          </w:tcPr>
          <w:p>
            <w:pPr>
              <w:jc w:val="center"/>
              <w:rPr>
                <w:b/>
                <w:bCs/>
                <w:sz w:val="24"/>
              </w:rPr>
            </w:pPr>
            <w:r>
              <w:rPr>
                <w:b/>
                <w:sz w:val="24"/>
              </w:rPr>
              <w:t>条款号</w:t>
            </w:r>
          </w:p>
        </w:tc>
        <w:tc>
          <w:tcPr>
            <w:tcW w:w="1435" w:type="dxa"/>
            <w:vAlign w:val="center"/>
          </w:tcPr>
          <w:p>
            <w:pPr>
              <w:jc w:val="center"/>
              <w:rPr>
                <w:b/>
                <w:bCs/>
                <w:sz w:val="24"/>
              </w:rPr>
            </w:pPr>
            <w:r>
              <w:rPr>
                <w:b/>
                <w:bCs/>
                <w:sz w:val="24"/>
              </w:rPr>
              <w:t>条目</w:t>
            </w:r>
          </w:p>
        </w:tc>
        <w:tc>
          <w:tcPr>
            <w:tcW w:w="7556" w:type="dxa"/>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435" w:type="dxa"/>
            <w:vAlign w:val="center"/>
          </w:tcPr>
          <w:p>
            <w:pPr>
              <w:jc w:val="center"/>
              <w:rPr>
                <w:sz w:val="24"/>
              </w:rPr>
            </w:pPr>
            <w:r>
              <w:rPr>
                <w:sz w:val="24"/>
              </w:rPr>
              <w:t>项目属性</w:t>
            </w:r>
          </w:p>
        </w:tc>
        <w:tc>
          <w:tcPr>
            <w:tcW w:w="7556" w:type="dxa"/>
            <w:vAlign w:val="center"/>
          </w:tcPr>
          <w:p>
            <w:pPr>
              <w:jc w:val="left"/>
              <w:rPr>
                <w:sz w:val="24"/>
              </w:rPr>
            </w:pPr>
            <w:r>
              <w:rPr>
                <w:sz w:val="24"/>
              </w:rPr>
              <w:t>项目属性：</w:t>
            </w:r>
          </w:p>
          <w:p>
            <w:pPr>
              <w:jc w:val="left"/>
              <w:rPr>
                <w:sz w:val="24"/>
              </w:rPr>
            </w:pPr>
            <w:r>
              <w:t>□</w:t>
            </w:r>
            <w:r>
              <w:rPr>
                <w:sz w:val="24"/>
              </w:rPr>
              <w:t>服务</w:t>
            </w:r>
          </w:p>
          <w:p>
            <w:pPr>
              <w:jc w:val="left"/>
              <w:rPr>
                <w:sz w:val="24"/>
              </w:rPr>
            </w:pPr>
            <w:r>
              <w:rPr>
                <w:b/>
                <w:color w:val="000000"/>
              </w:rPr>
              <w:t>■</w:t>
            </w:r>
            <w:r>
              <w:rPr>
                <w:sz w:val="24"/>
              </w:rPr>
              <w:t>货物</w:t>
            </w:r>
          </w:p>
          <w:p>
            <w:pPr>
              <w:jc w:val="left"/>
              <w:rPr>
                <w:sz w:val="24"/>
                <w:u w:val="single"/>
              </w:rPr>
            </w:pPr>
            <w:r>
              <w:rPr>
                <w:sz w:val="24"/>
              </w:rPr>
              <w:t>□</w:t>
            </w:r>
            <w:r>
              <w:rPr>
                <w:rFonts w:hint="eastAsia"/>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435" w:type="dxa"/>
            <w:vAlign w:val="center"/>
          </w:tcPr>
          <w:p>
            <w:pPr>
              <w:jc w:val="center"/>
              <w:rPr>
                <w:sz w:val="24"/>
              </w:rPr>
            </w:pPr>
            <w:r>
              <w:rPr>
                <w:sz w:val="24"/>
              </w:rPr>
              <w:t>科研仪器设备</w:t>
            </w:r>
          </w:p>
        </w:tc>
        <w:tc>
          <w:tcPr>
            <w:tcW w:w="7556" w:type="dxa"/>
            <w:vAlign w:val="center"/>
          </w:tcPr>
          <w:p>
            <w:pPr>
              <w:jc w:val="left"/>
              <w:rPr>
                <w:sz w:val="24"/>
              </w:rPr>
            </w:pPr>
            <w:r>
              <w:rPr>
                <w:sz w:val="24"/>
              </w:rPr>
              <w:t>是否属于科研仪器设备采购项目：</w:t>
            </w:r>
          </w:p>
          <w:p>
            <w:pPr>
              <w:jc w:val="left"/>
              <w:rPr>
                <w:sz w:val="24"/>
              </w:rPr>
            </w:pPr>
            <w:r>
              <w:t>□</w:t>
            </w:r>
            <w:r>
              <w:rPr>
                <w:sz w:val="24"/>
              </w:rPr>
              <w:t>是</w:t>
            </w:r>
          </w:p>
          <w:p>
            <w:pPr>
              <w:jc w:val="left"/>
              <w:rPr>
                <w:sz w:val="24"/>
              </w:rPr>
            </w:pPr>
            <w:r>
              <w:rPr>
                <w:b/>
                <w:color w:val="000000"/>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Merge w:val="restart"/>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435" w:type="dxa"/>
            <w:vAlign w:val="center"/>
          </w:tcPr>
          <w:p>
            <w:pPr>
              <w:jc w:val="center"/>
              <w:rPr>
                <w:sz w:val="24"/>
              </w:rPr>
            </w:pPr>
            <w:r>
              <w:rPr>
                <w:sz w:val="24"/>
              </w:rPr>
              <w:t>现场考察</w:t>
            </w:r>
          </w:p>
        </w:tc>
        <w:tc>
          <w:tcPr>
            <w:tcW w:w="7556" w:type="dxa"/>
            <w:vAlign w:val="center"/>
          </w:tcPr>
          <w:p>
            <w:pPr>
              <w:jc w:val="left"/>
              <w:rPr>
                <w:sz w:val="24"/>
              </w:rPr>
            </w:pPr>
            <w:r>
              <w:rPr>
                <w:b/>
                <w:color w:val="000000"/>
              </w:rPr>
              <w:t>■</w:t>
            </w:r>
            <w:r>
              <w:rPr>
                <w:sz w:val="24"/>
              </w:rPr>
              <w:t>不组织</w:t>
            </w:r>
          </w:p>
          <w:p>
            <w:pPr>
              <w:jc w:val="left"/>
              <w:rPr>
                <w:bCs/>
                <w:sz w:val="24"/>
              </w:rPr>
            </w:pPr>
            <w:r>
              <w:t>□</w:t>
            </w:r>
            <w:r>
              <w:rPr>
                <w:sz w:val="24"/>
              </w:rPr>
              <w:t>组织，考察时间：___年___月___日___点___分</w:t>
            </w:r>
          </w:p>
          <w:p>
            <w:pPr>
              <w:pStyle w:val="23"/>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Merge w:val="continue"/>
            <w:vAlign w:val="center"/>
          </w:tcPr>
          <w:p>
            <w:pPr>
              <w:pStyle w:val="23"/>
              <w:adjustRightInd w:val="0"/>
              <w:snapToGrid w:val="0"/>
              <w:jc w:val="center"/>
              <w:rPr>
                <w:rFonts w:hint="default" w:ascii="Times New Roman" w:hAnsi="Times New Roman"/>
                <w:sz w:val="24"/>
                <w:szCs w:val="24"/>
              </w:rPr>
            </w:pPr>
          </w:p>
        </w:tc>
        <w:tc>
          <w:tcPr>
            <w:tcW w:w="1435" w:type="dxa"/>
            <w:vAlign w:val="center"/>
          </w:tcPr>
          <w:p>
            <w:pPr>
              <w:jc w:val="center"/>
              <w:rPr>
                <w:sz w:val="24"/>
              </w:rPr>
            </w:pPr>
            <w:r>
              <w:rPr>
                <w:sz w:val="24"/>
              </w:rPr>
              <w:t>磋商前答疑会</w:t>
            </w:r>
          </w:p>
        </w:tc>
        <w:tc>
          <w:tcPr>
            <w:tcW w:w="7556" w:type="dxa"/>
            <w:vAlign w:val="center"/>
          </w:tcPr>
          <w:p>
            <w:pPr>
              <w:jc w:val="left"/>
              <w:rPr>
                <w:sz w:val="24"/>
              </w:rPr>
            </w:pPr>
            <w:r>
              <w:rPr>
                <w:b/>
                <w:color w:val="000000"/>
              </w:rPr>
              <w:t>■</w:t>
            </w:r>
            <w:r>
              <w:rPr>
                <w:sz w:val="24"/>
              </w:rPr>
              <w:t>不召开</w:t>
            </w:r>
          </w:p>
          <w:p>
            <w:pPr>
              <w:jc w:val="left"/>
              <w:rPr>
                <w:sz w:val="24"/>
              </w:rPr>
            </w:pPr>
            <w:r>
              <w:t>□</w:t>
            </w:r>
            <w:r>
              <w:rPr>
                <w:sz w:val="24"/>
              </w:rPr>
              <w:t>召开，召开时间：___年___月___日___点___分</w:t>
            </w:r>
          </w:p>
          <w:p>
            <w:pPr>
              <w:jc w:val="left"/>
              <w:rPr>
                <w:sz w:val="24"/>
              </w:rPr>
            </w:pPr>
            <w:r>
              <w:rPr>
                <w:sz w:val="24"/>
              </w:rPr>
              <w:t>召开地点：___________</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435" w:type="dxa"/>
            <w:vAlign w:val="center"/>
          </w:tcPr>
          <w:p>
            <w:pPr>
              <w:jc w:val="center"/>
              <w:rPr>
                <w:sz w:val="24"/>
              </w:rPr>
            </w:pPr>
            <w:r>
              <w:rPr>
                <w:sz w:val="24"/>
              </w:rPr>
              <w:t>标的所属行业</w:t>
            </w:r>
          </w:p>
        </w:tc>
        <w:tc>
          <w:tcPr>
            <w:tcW w:w="7556" w:type="dxa"/>
            <w:vAlign w:val="center"/>
          </w:tcPr>
          <w:p>
            <w:pPr>
              <w:jc w:val="left"/>
              <w:rPr>
                <w:rFonts w:ascii="宋体" w:hAnsi="宋体"/>
                <w:szCs w:val="21"/>
              </w:rPr>
            </w:pPr>
            <w:r>
              <w:rPr>
                <w:rFonts w:ascii="宋体" w:hAnsi="宋体"/>
                <w:szCs w:val="21"/>
              </w:rPr>
              <w:t>本项目采购标的对应的中小企业划分标准所属行业：</w:t>
            </w:r>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4247"/>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包号</w:t>
                  </w: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标的名称</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01</w:t>
                  </w: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学生课桌椅</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小学书包柜</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jc w:val="center"/>
                    <w:rPr>
                      <w:rFonts w:ascii="宋体" w:hAnsi="宋体" w:cs="宋体"/>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湿擦式复合黑板</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 xml:space="preserve">视频展台          </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 xml:space="preserve">音箱    </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系统集成</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三角板</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圆规</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量角器</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02</w:t>
                  </w: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教师演示台</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教师椅</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主控电源</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学生实验桌</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学生电源</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学生凳</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布线系统</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学生凳</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教师书法美术桌、凳</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学生书法美术桌</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学生书法凳</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计算机教师演示台</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办公椅</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计算机桌</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学生凳</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防静电陶瓷地板</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路由器</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24口千兆交换机</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接线板</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网线</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水晶头</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机柜</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RJ45配线架</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RJ45六类跳线</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理线器（理线槽）</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配电柜</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地插面板</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电线</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vAlign w:val="center"/>
                </w:tcPr>
                <w:p>
                  <w:pPr>
                    <w:jc w:val="center"/>
                    <w:rPr>
                      <w:rFonts w:ascii="宋体" w:hAnsi="宋体" w:cs="宋体"/>
                      <w:kern w:val="0"/>
                      <w:szCs w:val="21"/>
                    </w:rPr>
                  </w:pPr>
                  <w:r>
                    <w:rPr>
                      <w:rFonts w:hint="eastAsia" w:ascii="宋体" w:hAnsi="宋体" w:cs="宋体"/>
                      <w:kern w:val="0"/>
                      <w:szCs w:val="21"/>
                    </w:rPr>
                    <w:t>主电线</w:t>
                  </w:r>
                </w:p>
              </w:tc>
              <w:tc>
                <w:tcPr>
                  <w:tcW w:w="1508" w:type="pct"/>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vAlign w:val="center"/>
                </w:tcPr>
                <w:p>
                  <w:pPr>
                    <w:jc w:val="center"/>
                    <w:rPr>
                      <w:rFonts w:ascii="宋体" w:hAnsi="宋体" w:cs="宋体"/>
                      <w:kern w:val="0"/>
                      <w:szCs w:val="21"/>
                    </w:rPr>
                  </w:pPr>
                  <w:r>
                    <w:rPr>
                      <w:rFonts w:hint="eastAsia" w:ascii="宋体" w:hAnsi="宋体" w:cs="宋体"/>
                      <w:kern w:val="0"/>
                      <w:szCs w:val="21"/>
                    </w:rPr>
                    <w:t>pvc线槽</w:t>
                  </w:r>
                </w:p>
              </w:tc>
              <w:tc>
                <w:tcPr>
                  <w:tcW w:w="1508" w:type="pct"/>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vAlign w:val="center"/>
                </w:tcPr>
                <w:p>
                  <w:pPr>
                    <w:jc w:val="center"/>
                    <w:rPr>
                      <w:rFonts w:ascii="宋体" w:hAnsi="宋体" w:cs="宋体"/>
                      <w:kern w:val="0"/>
                      <w:szCs w:val="21"/>
                    </w:rPr>
                  </w:pPr>
                  <w:r>
                    <w:rPr>
                      <w:rFonts w:hint="eastAsia" w:ascii="宋体" w:hAnsi="宋体" w:cs="宋体"/>
                      <w:kern w:val="0"/>
                      <w:szCs w:val="21"/>
                    </w:rPr>
                    <w:t>铁线槽</w:t>
                  </w:r>
                </w:p>
              </w:tc>
              <w:tc>
                <w:tcPr>
                  <w:tcW w:w="1508" w:type="pct"/>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vAlign w:val="center"/>
                </w:tcPr>
                <w:p>
                  <w:pPr>
                    <w:jc w:val="center"/>
                    <w:rPr>
                      <w:rFonts w:ascii="宋体" w:hAnsi="宋体" w:cs="宋体"/>
                      <w:kern w:val="0"/>
                      <w:szCs w:val="21"/>
                    </w:rPr>
                  </w:pPr>
                  <w:r>
                    <w:rPr>
                      <w:rFonts w:hint="eastAsia" w:ascii="宋体" w:hAnsi="宋体" w:cs="宋体"/>
                      <w:kern w:val="0"/>
                      <w:szCs w:val="21"/>
                    </w:rPr>
                    <w:t>阅览椅</w:t>
                  </w:r>
                </w:p>
              </w:tc>
              <w:tc>
                <w:tcPr>
                  <w:tcW w:w="1508" w:type="pct"/>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vAlign w:val="center"/>
                </w:tcPr>
                <w:p>
                  <w:pPr>
                    <w:jc w:val="center"/>
                    <w:rPr>
                      <w:rFonts w:ascii="宋体" w:hAnsi="宋体" w:cs="宋体"/>
                      <w:kern w:val="0"/>
                      <w:szCs w:val="21"/>
                    </w:rPr>
                  </w:pPr>
                  <w:r>
                    <w:rPr>
                      <w:rFonts w:hint="eastAsia" w:ascii="宋体" w:hAnsi="宋体" w:cs="宋体"/>
                      <w:kern w:val="0"/>
                      <w:szCs w:val="21"/>
                    </w:rPr>
                    <w:t>目录柜</w:t>
                  </w:r>
                </w:p>
              </w:tc>
              <w:tc>
                <w:tcPr>
                  <w:tcW w:w="1508" w:type="pct"/>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bl>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10.2</w:t>
            </w:r>
          </w:p>
        </w:tc>
        <w:tc>
          <w:tcPr>
            <w:tcW w:w="1435" w:type="dxa"/>
            <w:vAlign w:val="center"/>
          </w:tcPr>
          <w:p>
            <w:pPr>
              <w:jc w:val="center"/>
              <w:rPr>
                <w:sz w:val="24"/>
              </w:rPr>
            </w:pPr>
            <w:r>
              <w:rPr>
                <w:sz w:val="24"/>
              </w:rPr>
              <w:t>报价</w:t>
            </w:r>
          </w:p>
        </w:tc>
        <w:tc>
          <w:tcPr>
            <w:tcW w:w="7556" w:type="dxa"/>
            <w:vAlign w:val="center"/>
          </w:tcPr>
          <w:p>
            <w:pPr>
              <w:jc w:val="left"/>
              <w:rPr>
                <w:sz w:val="24"/>
              </w:rPr>
            </w:pPr>
            <w:r>
              <w:rPr>
                <w:sz w:val="24"/>
              </w:rPr>
              <w:t>报价的特殊规定：</w:t>
            </w:r>
          </w:p>
          <w:p>
            <w:pPr>
              <w:jc w:val="left"/>
              <w:rPr>
                <w:sz w:val="24"/>
              </w:rPr>
            </w:pPr>
            <w:r>
              <w:rPr>
                <w:b/>
                <w:color w:val="000000"/>
              </w:rPr>
              <w:t>■</w:t>
            </w:r>
            <w:r>
              <w:rPr>
                <w:sz w:val="24"/>
              </w:rPr>
              <w:t>无</w:t>
            </w:r>
          </w:p>
          <w:p>
            <w:pPr>
              <w:jc w:val="left"/>
              <w:rPr>
                <w:sz w:val="24"/>
              </w:rPr>
            </w:pPr>
            <w:r>
              <w:t>□</w:t>
            </w:r>
            <w:r>
              <w:rPr>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1435" w:type="dxa"/>
            <w:vMerge w:val="restart"/>
            <w:vAlign w:val="center"/>
          </w:tcPr>
          <w:p>
            <w:pPr>
              <w:jc w:val="center"/>
              <w:rPr>
                <w:sz w:val="24"/>
              </w:rPr>
            </w:pPr>
            <w:r>
              <w:rPr>
                <w:sz w:val="24"/>
              </w:rPr>
              <w:t>磋商保证金</w:t>
            </w:r>
          </w:p>
        </w:tc>
        <w:tc>
          <w:tcPr>
            <w:tcW w:w="7556" w:type="dxa"/>
            <w:vAlign w:val="center"/>
          </w:tcPr>
          <w:p>
            <w:pPr>
              <w:pStyle w:val="23"/>
              <w:adjustRightInd w:val="0"/>
              <w:snapToGrid w:val="0"/>
              <w:rPr>
                <w:rFonts w:hint="default" w:ascii="Times New Roman" w:hAnsi="Times New Roman"/>
                <w:sz w:val="24"/>
                <w:szCs w:val="24"/>
              </w:rPr>
            </w:pPr>
            <w:r>
              <w:rPr>
                <w:rFonts w:hint="default" w:ascii="Times New Roman" w:hAnsi="Times New Roman"/>
                <w:sz w:val="24"/>
                <w:szCs w:val="24"/>
              </w:rPr>
              <w:t>磋商保证金金额：</w:t>
            </w:r>
          </w:p>
          <w:p>
            <w:pPr>
              <w:pStyle w:val="23"/>
              <w:adjustRightInd w:val="0"/>
              <w:snapToGrid w:val="0"/>
              <w:rPr>
                <w:rFonts w:hint="default" w:ascii="Times New Roman" w:hAnsi="Times New Roman"/>
                <w:sz w:val="24"/>
                <w:szCs w:val="24"/>
                <w:u w:val="single"/>
              </w:rPr>
            </w:pPr>
            <w:r>
              <w:rPr>
                <w:rFonts w:ascii="Times New Roman" w:hAnsi="Times New Roman"/>
                <w:sz w:val="24"/>
                <w:szCs w:val="24"/>
              </w:rPr>
              <w:t>01包：</w:t>
            </w:r>
            <w:r>
              <w:rPr>
                <w:rFonts w:hint="default" w:ascii="Times New Roman" w:hAnsi="Times New Roman"/>
                <w:sz w:val="24"/>
                <w:szCs w:val="24"/>
                <w:u w:val="single"/>
              </w:rPr>
              <w:t>7</w:t>
            </w:r>
            <w:r>
              <w:rPr>
                <w:rFonts w:ascii="Times New Roman" w:hAnsi="Times New Roman"/>
                <w:sz w:val="24"/>
                <w:szCs w:val="24"/>
                <w:u w:val="single"/>
              </w:rPr>
              <w:t>000.00元</w:t>
            </w:r>
          </w:p>
          <w:p>
            <w:pPr>
              <w:pStyle w:val="23"/>
              <w:adjustRightInd w:val="0"/>
              <w:snapToGrid w:val="0"/>
              <w:rPr>
                <w:rFonts w:hint="default" w:ascii="Times New Roman" w:hAnsi="Times New Roman"/>
                <w:sz w:val="24"/>
                <w:szCs w:val="24"/>
              </w:rPr>
            </w:pPr>
            <w:r>
              <w:rPr>
                <w:rFonts w:ascii="Times New Roman" w:hAnsi="Times New Roman"/>
                <w:sz w:val="24"/>
                <w:szCs w:val="24"/>
              </w:rPr>
              <w:t>0</w:t>
            </w:r>
            <w:r>
              <w:rPr>
                <w:rFonts w:hint="default" w:ascii="Times New Roman" w:hAnsi="Times New Roman"/>
                <w:sz w:val="24"/>
                <w:szCs w:val="24"/>
              </w:rPr>
              <w:t>2</w:t>
            </w:r>
            <w:r>
              <w:rPr>
                <w:rFonts w:ascii="Times New Roman" w:hAnsi="Times New Roman"/>
                <w:sz w:val="24"/>
                <w:szCs w:val="24"/>
              </w:rPr>
              <w:t>包：</w:t>
            </w:r>
            <w:r>
              <w:rPr>
                <w:rFonts w:ascii="Times New Roman" w:hAnsi="Times New Roman"/>
                <w:sz w:val="24"/>
                <w:szCs w:val="24"/>
                <w:u w:val="single"/>
              </w:rPr>
              <w:t>5</w:t>
            </w:r>
            <w:r>
              <w:rPr>
                <w:rFonts w:hint="default" w:ascii="Times New Roman" w:hAnsi="Times New Roman"/>
                <w:sz w:val="24"/>
                <w:szCs w:val="24"/>
                <w:u w:val="single"/>
              </w:rPr>
              <w:t>700.00</w:t>
            </w:r>
            <w:r>
              <w:rPr>
                <w:rFonts w:ascii="Times New Roman" w:hAnsi="Times New Roman"/>
                <w:sz w:val="24"/>
                <w:szCs w:val="24"/>
                <w:u w:val="single"/>
              </w:rPr>
              <w:t>元</w:t>
            </w:r>
            <w:r>
              <w:rPr>
                <w:rFonts w:hint="default" w:ascii="Times New Roman" w:hAnsi="Times New Roman"/>
                <w:sz w:val="24"/>
                <w:szCs w:val="24"/>
              </w:rPr>
              <w:t>。</w:t>
            </w:r>
          </w:p>
          <w:p>
            <w:pPr>
              <w:jc w:val="left"/>
              <w:rPr>
                <w:sz w:val="24"/>
                <w:u w:val="single"/>
              </w:rPr>
            </w:pPr>
            <w:r>
              <w:rPr>
                <w:sz w:val="24"/>
              </w:rPr>
              <w:t>磋商保证金收受人信息：</w:t>
            </w:r>
          </w:p>
          <w:p>
            <w:pPr>
              <w:jc w:val="left"/>
              <w:rPr>
                <w:sz w:val="24"/>
              </w:rPr>
            </w:pPr>
            <w:r>
              <w:rPr>
                <w:rFonts w:hint="eastAsia"/>
                <w:sz w:val="24"/>
              </w:rPr>
              <w:t>收款单位：北京国际工程咨询有限公司；</w:t>
            </w:r>
          </w:p>
          <w:p>
            <w:pPr>
              <w:jc w:val="left"/>
              <w:rPr>
                <w:sz w:val="24"/>
              </w:rPr>
            </w:pPr>
            <w:r>
              <w:rPr>
                <w:rFonts w:hint="eastAsia"/>
                <w:sz w:val="24"/>
              </w:rPr>
              <w:t xml:space="preserve">开户行：华夏银行北京学院路支行； </w:t>
            </w:r>
          </w:p>
          <w:p>
            <w:pPr>
              <w:jc w:val="left"/>
              <w:rPr>
                <w:sz w:val="24"/>
              </w:rPr>
            </w:pPr>
            <w:r>
              <w:rPr>
                <w:rFonts w:hint="eastAsia"/>
                <w:sz w:val="24"/>
              </w:rPr>
              <w:t>账号：10242000000002546 。</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11.7.5</w:t>
            </w:r>
          </w:p>
        </w:tc>
        <w:tc>
          <w:tcPr>
            <w:tcW w:w="1435" w:type="dxa"/>
            <w:vMerge w:val="continue"/>
            <w:vAlign w:val="center"/>
          </w:tcPr>
          <w:p>
            <w:pPr>
              <w:jc w:val="center"/>
              <w:rPr>
                <w:sz w:val="24"/>
              </w:rPr>
            </w:pPr>
          </w:p>
        </w:tc>
        <w:tc>
          <w:tcPr>
            <w:tcW w:w="7556" w:type="dxa"/>
            <w:vAlign w:val="center"/>
          </w:tcPr>
          <w:p>
            <w:pPr>
              <w:jc w:val="left"/>
              <w:rPr>
                <w:sz w:val="24"/>
              </w:rPr>
            </w:pPr>
            <w:r>
              <w:rPr>
                <w:rFonts w:hint="eastAsia"/>
                <w:sz w:val="24"/>
              </w:rPr>
              <w:t>磋商</w:t>
            </w:r>
            <w:r>
              <w:rPr>
                <w:sz w:val="24"/>
              </w:rPr>
              <w:t>保证金可以不予退还的其他情形：</w:t>
            </w:r>
          </w:p>
          <w:p>
            <w:pPr>
              <w:jc w:val="left"/>
              <w:rPr>
                <w:sz w:val="24"/>
              </w:rPr>
            </w:pPr>
            <w:r>
              <w:rPr>
                <w:sz w:val="24"/>
              </w:rPr>
              <w:t>□无</w:t>
            </w:r>
          </w:p>
          <w:p>
            <w:pPr>
              <w:pStyle w:val="23"/>
              <w:adjustRightInd w:val="0"/>
              <w:snapToGrid w:val="0"/>
              <w:rPr>
                <w:rFonts w:hint="default" w:ascii="Times New Roman" w:hAnsi="Times New Roman"/>
                <w:sz w:val="24"/>
              </w:rPr>
            </w:pPr>
            <w:r>
              <w:rPr>
                <w:color w:val="000000"/>
                <w:sz w:val="16"/>
                <w:szCs w:val="18"/>
              </w:rPr>
              <w:t>■</w:t>
            </w:r>
            <w:r>
              <w:rPr>
                <w:rFonts w:hint="default" w:ascii="Times New Roman" w:hAnsi="Times New Roman"/>
                <w:sz w:val="24"/>
              </w:rPr>
              <w:t>有，具体情形：</w:t>
            </w:r>
          </w:p>
          <w:p>
            <w:pPr>
              <w:pStyle w:val="23"/>
              <w:adjustRightInd w:val="0"/>
              <w:snapToGrid w:val="0"/>
              <w:rPr>
                <w:rFonts w:hint="default" w:ascii="Times New Roman" w:hAnsi="Times New Roman"/>
                <w:sz w:val="24"/>
              </w:rPr>
            </w:pPr>
            <w:r>
              <w:rPr>
                <w:sz w:val="24"/>
              </w:rPr>
              <w:t>1.磋商有效期内投标人撤销投标文件的；</w:t>
            </w:r>
          </w:p>
          <w:p>
            <w:pPr>
              <w:pStyle w:val="23"/>
              <w:adjustRightInd w:val="0"/>
              <w:snapToGrid w:val="0"/>
              <w:rPr>
                <w:rFonts w:hint="default" w:ascii="Times New Roman" w:hAnsi="Times New Roman"/>
                <w:sz w:val="24"/>
              </w:rPr>
            </w:pPr>
            <w:r>
              <w:rPr>
                <w:rFonts w:ascii="Times New Roman" w:hAnsi="Times New Roman"/>
                <w:sz w:val="24"/>
              </w:rPr>
              <w:t>2.供应商在投标文件中提供任何虚假材料的；</w:t>
            </w:r>
          </w:p>
          <w:p>
            <w:pPr>
              <w:pStyle w:val="23"/>
              <w:adjustRightInd w:val="0"/>
              <w:snapToGrid w:val="0"/>
              <w:rPr>
                <w:rFonts w:hint="default" w:ascii="Times New Roman" w:hAnsi="Times New Roman"/>
                <w:sz w:val="24"/>
              </w:rPr>
            </w:pPr>
            <w:r>
              <w:rPr>
                <w:rFonts w:ascii="Times New Roman" w:hAnsi="Times New Roman"/>
                <w:sz w:val="24"/>
              </w:rPr>
              <w:t>3.成交人不按本须知的规定与采购人签订合同的；</w:t>
            </w:r>
          </w:p>
          <w:p>
            <w:pPr>
              <w:pStyle w:val="23"/>
              <w:adjustRightInd w:val="0"/>
              <w:snapToGrid w:val="0"/>
              <w:rPr>
                <w:rFonts w:hint="default" w:ascii="Times New Roman" w:hAnsi="Times New Roman"/>
                <w:sz w:val="24"/>
              </w:rPr>
            </w:pPr>
            <w:r>
              <w:rPr>
                <w:rFonts w:ascii="Times New Roman" w:hAnsi="Times New Roman"/>
                <w:sz w:val="24"/>
              </w:rPr>
              <w:t>4.成交人将成交项目转让给他人，或者在磋商文件中未说明，且未经采购人同意，将成交项目分包给他人的；</w:t>
            </w:r>
          </w:p>
          <w:p>
            <w:pPr>
              <w:pStyle w:val="23"/>
              <w:adjustRightInd w:val="0"/>
              <w:snapToGrid w:val="0"/>
              <w:rPr>
                <w:rFonts w:hint="default" w:ascii="Times New Roman" w:hAnsi="Times New Roman"/>
                <w:sz w:val="24"/>
                <w:szCs w:val="24"/>
              </w:rPr>
            </w:pPr>
            <w:r>
              <w:rPr>
                <w:rFonts w:ascii="Times New Roman" w:hAnsi="Times New Roman"/>
                <w:sz w:val="24"/>
              </w:rPr>
              <w:t>5.成交人拒绝履行合同义务的。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435" w:type="dxa"/>
            <w:vAlign w:val="center"/>
          </w:tcPr>
          <w:p>
            <w:pPr>
              <w:jc w:val="center"/>
              <w:rPr>
                <w:sz w:val="24"/>
              </w:rPr>
            </w:pPr>
            <w:r>
              <w:rPr>
                <w:sz w:val="24"/>
              </w:rPr>
              <w:t>响应有效期</w:t>
            </w:r>
          </w:p>
        </w:tc>
        <w:tc>
          <w:tcPr>
            <w:tcW w:w="7556" w:type="dxa"/>
            <w:vAlign w:val="center"/>
          </w:tcPr>
          <w:p>
            <w:pPr>
              <w:jc w:val="left"/>
              <w:rPr>
                <w:sz w:val="24"/>
              </w:rPr>
            </w:pPr>
            <w:r>
              <w:rPr>
                <w:sz w:val="24"/>
              </w:rPr>
              <w:t>自提交响应文件的截止之日起算</w:t>
            </w:r>
            <w:r>
              <w:rPr>
                <w:rFonts w:hint="eastAsia"/>
                <w:sz w:val="24"/>
                <w:u w:val="single"/>
              </w:rPr>
              <w:t>90</w:t>
            </w:r>
            <w:r>
              <w:rPr>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ascii="Times New Roman" w:hAnsi="Times New Roman"/>
                <w:sz w:val="24"/>
                <w:szCs w:val="24"/>
              </w:rPr>
              <w:t>1</w:t>
            </w:r>
            <w:r>
              <w:rPr>
                <w:rFonts w:hint="default" w:ascii="Times New Roman" w:hAnsi="Times New Roman"/>
                <w:sz w:val="24"/>
                <w:szCs w:val="24"/>
              </w:rPr>
              <w:t>3.1</w:t>
            </w:r>
          </w:p>
        </w:tc>
        <w:tc>
          <w:tcPr>
            <w:tcW w:w="1435" w:type="dxa"/>
            <w:vAlign w:val="center"/>
          </w:tcPr>
          <w:p>
            <w:pPr>
              <w:jc w:val="center"/>
              <w:rPr>
                <w:sz w:val="24"/>
              </w:rPr>
            </w:pPr>
            <w:r>
              <w:rPr>
                <w:rFonts w:hint="eastAsia"/>
                <w:sz w:val="24"/>
              </w:rPr>
              <w:t>响应文件份数</w:t>
            </w:r>
          </w:p>
        </w:tc>
        <w:tc>
          <w:tcPr>
            <w:tcW w:w="7556" w:type="dxa"/>
            <w:vAlign w:val="center"/>
          </w:tcPr>
          <w:p>
            <w:pPr>
              <w:jc w:val="left"/>
            </w:pPr>
            <w:r>
              <w:rPr>
                <w:rFonts w:hint="eastAsia" w:ascii="宋体" w:hAnsi="宋体"/>
                <w:b/>
                <w:bCs/>
                <w:sz w:val="24"/>
              </w:rPr>
              <w:t>供应商需按“包”编制响应文件</w:t>
            </w:r>
          </w:p>
          <w:p>
            <w:pPr>
              <w:jc w:val="left"/>
              <w:rPr>
                <w:sz w:val="24"/>
              </w:rPr>
            </w:pPr>
            <w:r>
              <w:rPr>
                <w:rFonts w:hint="eastAsia" w:ascii="宋体" w:hAnsi="宋体"/>
                <w:sz w:val="24"/>
              </w:rPr>
              <w:t>响应文件：正本：</w:t>
            </w:r>
            <w:r>
              <w:rPr>
                <w:rFonts w:ascii="宋体" w:hAnsi="宋体"/>
                <w:sz w:val="24"/>
              </w:rPr>
              <w:t>1份；副本：</w:t>
            </w:r>
            <w:r>
              <w:rPr>
                <w:rFonts w:hint="eastAsia" w:ascii="宋体" w:hAnsi="宋体"/>
                <w:sz w:val="24"/>
              </w:rPr>
              <w:t>3</w:t>
            </w:r>
            <w:r>
              <w:rPr>
                <w:rFonts w:ascii="宋体" w:hAnsi="宋体"/>
                <w:sz w:val="24"/>
              </w:rPr>
              <w:t>份；电子版：1份</w:t>
            </w:r>
            <w:r>
              <w:rPr>
                <w:rFonts w:hint="eastAsia" w:ascii="宋体" w:hAnsi="宋体"/>
                <w:sz w:val="24"/>
              </w:rPr>
              <w:t>；电子版内容为</w:t>
            </w:r>
            <w:r>
              <w:rPr>
                <w:rFonts w:hint="eastAsia" w:ascii="宋体" w:hAnsi="宋体"/>
                <w:sz w:val="24"/>
                <w:lang w:eastAsia="zh-CN"/>
              </w:rPr>
              <w:t>：</w:t>
            </w:r>
            <w:r>
              <w:rPr>
                <w:rFonts w:hint="eastAsia" w:ascii="宋体" w:hAnsi="宋体"/>
                <w:sz w:val="24"/>
                <w:lang w:val="en-US" w:eastAsia="zh-CN"/>
              </w:rPr>
              <w:t>响应</w:t>
            </w:r>
            <w:r>
              <w:rPr>
                <w:rFonts w:hint="eastAsia" w:ascii="宋体" w:hAnsi="宋体"/>
                <w:sz w:val="24"/>
              </w:rPr>
              <w:t>文件的word格式可编辑版本和正本签字盖章后扫描的PDF文本格式</w:t>
            </w:r>
            <w:r>
              <w:rPr>
                <w:rFonts w:hint="eastAsia" w:ascii="宋体" w:hAnsi="宋体"/>
                <w:sz w:val="24"/>
                <w:lang w:eastAsia="zh-CN"/>
              </w:rPr>
              <w:t>、投标情况明细表</w:t>
            </w:r>
            <w:r>
              <w:rPr>
                <w:rFonts w:hint="eastAsia" w:ascii="宋体" w:hAnsi="宋体"/>
                <w:sz w:val="24"/>
                <w:lang w:val="en-US" w:eastAsia="zh-CN"/>
              </w:rPr>
              <w:t>Excel格式</w:t>
            </w:r>
            <w:r>
              <w:rPr>
                <w:rFonts w:hint="eastAsia" w:ascii="宋体" w:hAnsi="宋体"/>
                <w:sz w:val="24"/>
              </w:rPr>
              <w:t>各1份，电子版</w:t>
            </w:r>
            <w:r>
              <w:rPr>
                <w:rFonts w:hint="eastAsia" w:ascii="宋体" w:hAnsi="宋体"/>
                <w:sz w:val="24"/>
                <w:lang w:val="en-US" w:eastAsia="zh-CN"/>
              </w:rPr>
              <w:t>响应</w:t>
            </w:r>
            <w:r>
              <w:rPr>
                <w:rFonts w:hint="eastAsia" w:ascii="宋体" w:hAnsi="宋体"/>
                <w:sz w:val="24"/>
              </w:rPr>
              <w:t>文件以U盘形式提交。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20.1</w:t>
            </w:r>
          </w:p>
        </w:tc>
        <w:tc>
          <w:tcPr>
            <w:tcW w:w="1435" w:type="dxa"/>
            <w:vAlign w:val="center"/>
          </w:tcPr>
          <w:p>
            <w:pPr>
              <w:jc w:val="center"/>
              <w:rPr>
                <w:sz w:val="24"/>
              </w:rPr>
            </w:pPr>
            <w:r>
              <w:rPr>
                <w:sz w:val="24"/>
              </w:rPr>
              <w:t>成交供应商的确认</w:t>
            </w:r>
          </w:p>
        </w:tc>
        <w:tc>
          <w:tcPr>
            <w:tcW w:w="7556" w:type="dxa"/>
            <w:vAlign w:val="center"/>
          </w:tcPr>
          <w:p>
            <w:pPr>
              <w:pStyle w:val="23"/>
              <w:adjustRightInd w:val="0"/>
              <w:snapToGrid w:val="0"/>
              <w:rPr>
                <w:rFonts w:hint="default" w:ascii="Times New Roman" w:hAnsi="Times New Roman"/>
                <w:sz w:val="24"/>
              </w:rPr>
            </w:pPr>
            <w:r>
              <w:rPr>
                <w:rFonts w:hint="default" w:ascii="Times New Roman" w:hAnsi="Times New Roman"/>
                <w:sz w:val="24"/>
              </w:rPr>
              <w:t>采购人是否</w:t>
            </w:r>
            <w:r>
              <w:rPr>
                <w:rFonts w:hint="default" w:ascii="Times New Roman" w:hAnsi="Times New Roman"/>
                <w:color w:val="000000"/>
                <w:sz w:val="24"/>
              </w:rPr>
              <w:t>授权磋商小组直接确定成交供应商</w:t>
            </w:r>
            <w:r>
              <w:rPr>
                <w:rFonts w:hint="default" w:ascii="Times New Roman" w:hAnsi="Times New Roman"/>
                <w:sz w:val="24"/>
              </w:rPr>
              <w:t>：</w:t>
            </w:r>
          </w:p>
          <w:p>
            <w:pPr>
              <w:pStyle w:val="23"/>
              <w:adjustRightInd w:val="0"/>
              <w:snapToGrid w:val="0"/>
              <w:rPr>
                <w:rFonts w:hint="default" w:ascii="Times New Roman" w:hAnsi="Times New Roman"/>
                <w:sz w:val="24"/>
              </w:rPr>
            </w:pPr>
            <w:r>
              <w:rPr>
                <w:color w:val="000000"/>
                <w:sz w:val="13"/>
                <w:szCs w:val="18"/>
              </w:rPr>
              <w:t>■</w:t>
            </w:r>
            <w:r>
              <w:rPr>
                <w:rFonts w:hint="default" w:ascii="Times New Roman" w:hAnsi="Times New Roman"/>
                <w:sz w:val="24"/>
              </w:rPr>
              <w:t>否</w:t>
            </w:r>
          </w:p>
          <w:p>
            <w:pPr>
              <w:jc w:val="left"/>
              <w:rPr>
                <w:sz w:val="24"/>
              </w:rPr>
            </w:pPr>
            <w:r>
              <w:t>□</w:t>
            </w:r>
            <w:r>
              <w:rPr>
                <w:sz w:val="24"/>
              </w:rPr>
              <w:t>是</w:t>
            </w:r>
          </w:p>
          <w:p>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23.5</w:t>
            </w:r>
          </w:p>
        </w:tc>
        <w:tc>
          <w:tcPr>
            <w:tcW w:w="1435" w:type="dxa"/>
            <w:vAlign w:val="center"/>
          </w:tcPr>
          <w:p>
            <w:pPr>
              <w:jc w:val="center"/>
              <w:rPr>
                <w:sz w:val="24"/>
              </w:rPr>
            </w:pPr>
            <w:r>
              <w:rPr>
                <w:sz w:val="24"/>
              </w:rPr>
              <w:t>分包</w:t>
            </w:r>
          </w:p>
        </w:tc>
        <w:tc>
          <w:tcPr>
            <w:tcW w:w="7556" w:type="dxa"/>
            <w:vAlign w:val="center"/>
          </w:tcPr>
          <w:p>
            <w:pPr>
              <w:jc w:val="left"/>
              <w:rPr>
                <w:sz w:val="24"/>
              </w:rPr>
            </w:pPr>
            <w:r>
              <w:rPr>
                <w:sz w:val="24"/>
              </w:rPr>
              <w:t xml:space="preserve">本项目是否允许分包： </w:t>
            </w:r>
          </w:p>
          <w:p>
            <w:pPr>
              <w:jc w:val="left"/>
              <w:rPr>
                <w:sz w:val="24"/>
              </w:rPr>
            </w:pPr>
            <w:r>
              <w:rPr>
                <w:color w:val="000000"/>
                <w:sz w:val="20"/>
                <w:szCs w:val="18"/>
              </w:rPr>
              <w:t>■</w:t>
            </w:r>
            <w:r>
              <w:rPr>
                <w:sz w:val="24"/>
              </w:rPr>
              <w:t>不允许</w:t>
            </w:r>
          </w:p>
          <w:p>
            <w:pPr>
              <w:jc w:val="left"/>
              <w:rPr>
                <w:sz w:val="24"/>
              </w:rPr>
            </w:pPr>
            <w:r>
              <w:t>□</w:t>
            </w:r>
            <w:r>
              <w:rPr>
                <w:sz w:val="24"/>
              </w:rPr>
              <w:t>允许，具体要求：_______。</w:t>
            </w:r>
          </w:p>
          <w:p>
            <w:pPr>
              <w:jc w:val="left"/>
              <w:rPr>
                <w:sz w:val="24"/>
              </w:rPr>
            </w:pPr>
            <w:r>
              <w:rPr>
                <w:sz w:val="24"/>
              </w:rPr>
              <w:t>（1）可以分包履行的具体内容：_______；</w:t>
            </w:r>
          </w:p>
          <w:p>
            <w:pPr>
              <w:jc w:val="left"/>
              <w:rPr>
                <w:sz w:val="24"/>
              </w:rPr>
            </w:pPr>
            <w:r>
              <w:rPr>
                <w:sz w:val="24"/>
              </w:rPr>
              <w:t>（2）允许分包的金额或者比例：_______；</w:t>
            </w:r>
          </w:p>
          <w:p>
            <w:pPr>
              <w:jc w:val="left"/>
              <w:rPr>
                <w:sz w:val="24"/>
                <w:u w:val="single"/>
              </w:rPr>
            </w:pPr>
            <w:r>
              <w:rPr>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24.1.1</w:t>
            </w:r>
          </w:p>
        </w:tc>
        <w:tc>
          <w:tcPr>
            <w:tcW w:w="1435" w:type="dxa"/>
            <w:vAlign w:val="center"/>
          </w:tcPr>
          <w:p>
            <w:pPr>
              <w:jc w:val="center"/>
              <w:rPr>
                <w:sz w:val="24"/>
              </w:rPr>
            </w:pPr>
            <w:r>
              <w:rPr>
                <w:sz w:val="24"/>
              </w:rPr>
              <w:t>询问</w:t>
            </w:r>
          </w:p>
        </w:tc>
        <w:tc>
          <w:tcPr>
            <w:tcW w:w="7556" w:type="dxa"/>
            <w:vAlign w:val="center"/>
          </w:tcPr>
          <w:p>
            <w:pPr>
              <w:jc w:val="left"/>
              <w:rPr>
                <w:sz w:val="24"/>
              </w:rPr>
            </w:pPr>
            <w:r>
              <w:rPr>
                <w:sz w:val="24"/>
              </w:rPr>
              <w:t>询问送达形式：</w:t>
            </w:r>
            <w:r>
              <w:rPr>
                <w:rFonts w:hint="eastAsia"/>
                <w:sz w:val="24"/>
                <w:u w:val="single"/>
              </w:rPr>
              <w:t>书面形式递交至北京市海淀区学院路30号科大天工大厦A座6层</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24.3</w:t>
            </w:r>
          </w:p>
        </w:tc>
        <w:tc>
          <w:tcPr>
            <w:tcW w:w="1435" w:type="dxa"/>
            <w:vAlign w:val="center"/>
          </w:tcPr>
          <w:p>
            <w:pPr>
              <w:jc w:val="center"/>
              <w:rPr>
                <w:sz w:val="24"/>
              </w:rPr>
            </w:pPr>
            <w:r>
              <w:rPr>
                <w:sz w:val="24"/>
              </w:rPr>
              <w:t>联系方式</w:t>
            </w:r>
          </w:p>
        </w:tc>
        <w:tc>
          <w:tcPr>
            <w:tcW w:w="7556" w:type="dxa"/>
            <w:vAlign w:val="center"/>
          </w:tcPr>
          <w:p>
            <w:pPr>
              <w:jc w:val="left"/>
              <w:rPr>
                <w:sz w:val="24"/>
              </w:rPr>
            </w:pPr>
            <w:r>
              <w:rPr>
                <w:sz w:val="24"/>
              </w:rPr>
              <w:t>接收询问和质疑的联系方式</w:t>
            </w:r>
          </w:p>
          <w:p>
            <w:pPr>
              <w:jc w:val="left"/>
              <w:rPr>
                <w:sz w:val="24"/>
              </w:rPr>
            </w:pPr>
            <w:r>
              <w:rPr>
                <w:sz w:val="24"/>
              </w:rPr>
              <w:t>联系部门：</w:t>
            </w:r>
            <w:r>
              <w:rPr>
                <w:sz w:val="24"/>
                <w:u w:val="single"/>
              </w:rPr>
              <w:t>北京国际工程咨询有限公司</w:t>
            </w:r>
            <w:r>
              <w:rPr>
                <w:sz w:val="24"/>
              </w:rPr>
              <w:t>；</w:t>
            </w:r>
          </w:p>
          <w:p>
            <w:pPr>
              <w:jc w:val="left"/>
              <w:rPr>
                <w:sz w:val="24"/>
              </w:rPr>
            </w:pPr>
            <w:r>
              <w:rPr>
                <w:sz w:val="24"/>
              </w:rPr>
              <w:t>联系电话：</w:t>
            </w:r>
            <w:r>
              <w:rPr>
                <w:rFonts w:hint="eastAsia"/>
                <w:sz w:val="24"/>
                <w:u w:val="single"/>
              </w:rPr>
              <w:t>010- 8237</w:t>
            </w:r>
            <w:r>
              <w:rPr>
                <w:sz w:val="24"/>
                <w:u w:val="single"/>
              </w:rPr>
              <w:t>0620</w:t>
            </w:r>
            <w:r>
              <w:rPr>
                <w:sz w:val="24"/>
              </w:rPr>
              <w:t>；</w:t>
            </w:r>
          </w:p>
          <w:p>
            <w:pPr>
              <w:jc w:val="left"/>
              <w:rPr>
                <w:sz w:val="24"/>
              </w:rPr>
            </w:pPr>
            <w:r>
              <w:rPr>
                <w:sz w:val="24"/>
              </w:rPr>
              <w:t>通讯地址：</w:t>
            </w:r>
            <w:r>
              <w:rPr>
                <w:rFonts w:hint="eastAsia"/>
                <w:sz w:val="24"/>
                <w:u w:val="single"/>
              </w:rPr>
              <w:t>北京市海淀区学院路30号科大天工大厦A座6层</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w:t>
            </w:r>
          </w:p>
        </w:tc>
        <w:tc>
          <w:tcPr>
            <w:tcW w:w="1435" w:type="dxa"/>
            <w:vAlign w:val="center"/>
          </w:tcPr>
          <w:p>
            <w:pPr>
              <w:jc w:val="center"/>
              <w:rPr>
                <w:sz w:val="24"/>
              </w:rPr>
            </w:pPr>
            <w:r>
              <w:rPr>
                <w:sz w:val="24"/>
              </w:rPr>
              <w:t>代理费</w:t>
            </w:r>
          </w:p>
        </w:tc>
        <w:tc>
          <w:tcPr>
            <w:tcW w:w="7556" w:type="dxa"/>
            <w:vAlign w:val="center"/>
          </w:tcPr>
          <w:p>
            <w:pPr>
              <w:jc w:val="left"/>
              <w:rPr>
                <w:rFonts w:ascii="宋体" w:hAnsi="宋体"/>
                <w:sz w:val="24"/>
              </w:rPr>
            </w:pPr>
            <w:r>
              <w:rPr>
                <w:rFonts w:ascii="宋体" w:hAnsi="宋体"/>
                <w:sz w:val="24"/>
              </w:rPr>
              <w:t>收费对象：</w:t>
            </w:r>
          </w:p>
          <w:p>
            <w:pPr>
              <w:jc w:val="left"/>
              <w:rPr>
                <w:rFonts w:ascii="宋体" w:hAnsi="宋体"/>
                <w:sz w:val="24"/>
              </w:rPr>
            </w:pPr>
            <w:r>
              <w:t>□</w:t>
            </w:r>
            <w:r>
              <w:rPr>
                <w:rFonts w:ascii="宋体" w:hAnsi="宋体"/>
                <w:sz w:val="24"/>
              </w:rPr>
              <w:t>采购人</w:t>
            </w:r>
          </w:p>
          <w:p>
            <w:pPr>
              <w:jc w:val="left"/>
              <w:rPr>
                <w:rFonts w:ascii="宋体" w:hAnsi="宋体"/>
                <w:sz w:val="24"/>
              </w:rPr>
            </w:pPr>
            <w:r>
              <w:rPr>
                <w:color w:val="000000"/>
                <w:sz w:val="20"/>
                <w:szCs w:val="18"/>
              </w:rPr>
              <w:t>■</w:t>
            </w:r>
            <w:r>
              <w:rPr>
                <w:rFonts w:ascii="宋体" w:hAnsi="宋体"/>
                <w:sz w:val="24"/>
              </w:rPr>
              <w:t>成交供应商</w:t>
            </w:r>
          </w:p>
          <w:p>
            <w:pPr>
              <w:jc w:val="left"/>
              <w:rPr>
                <w:rFonts w:ascii="宋体" w:hAnsi="宋体"/>
                <w:sz w:val="24"/>
              </w:rPr>
            </w:pPr>
            <w:r>
              <w:rPr>
                <w:rFonts w:ascii="宋体" w:hAnsi="宋体"/>
                <w:sz w:val="24"/>
              </w:rPr>
              <w:t>收费标准：</w:t>
            </w:r>
            <w:r>
              <w:rPr>
                <w:rFonts w:hint="eastAsia" w:ascii="宋体" w:hAnsi="宋体"/>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成交金额按差额定率累进法计算后向供应商收取。</w:t>
            </w:r>
          </w:p>
          <w:p>
            <w:pPr>
              <w:pStyle w:val="34"/>
              <w:ind w:left="0"/>
            </w:pPr>
            <w:r>
              <w:rPr>
                <w:rFonts w:ascii="宋体" w:hAnsi="宋体"/>
                <w:sz w:val="24"/>
              </w:rPr>
              <w:drawing>
                <wp:inline distT="0" distB="0" distL="114300" distR="114300">
                  <wp:extent cx="4651375" cy="3067685"/>
                  <wp:effectExtent l="0" t="0" r="9525" b="571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25"/>
                          <a:stretch>
                            <a:fillRect/>
                          </a:stretch>
                        </pic:blipFill>
                        <pic:spPr>
                          <a:xfrm>
                            <a:off x="0" y="0"/>
                            <a:ext cx="4651375" cy="3067685"/>
                          </a:xfrm>
                          <a:prstGeom prst="rect">
                            <a:avLst/>
                          </a:prstGeom>
                          <a:noFill/>
                          <a:ln>
                            <a:noFill/>
                          </a:ln>
                        </pic:spPr>
                      </pic:pic>
                    </a:graphicData>
                  </a:graphic>
                </wp:inline>
              </w:drawing>
            </w:r>
          </w:p>
          <w:p>
            <w:pPr>
              <w:jc w:val="left"/>
              <w:rPr>
                <w:sz w:val="24"/>
              </w:rPr>
            </w:pPr>
            <w:r>
              <w:rPr>
                <w:rFonts w:ascii="宋体" w:hAnsi="宋体"/>
                <w:sz w:val="24"/>
              </w:rPr>
              <w:t>缴纳时间：</w:t>
            </w:r>
            <w:r>
              <w:rPr>
                <w:rFonts w:hint="eastAsia" w:ascii="宋体" w:hAnsi="宋体"/>
                <w:bCs/>
                <w:sz w:val="24"/>
                <w:u w:val="single"/>
              </w:rPr>
              <w:t>成交供应商在领取成交通知书时交纳。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ascii="Times New Roman" w:hAnsi="Times New Roman"/>
                <w:sz w:val="24"/>
                <w:szCs w:val="24"/>
              </w:rPr>
              <w:t>/</w:t>
            </w:r>
          </w:p>
        </w:tc>
        <w:tc>
          <w:tcPr>
            <w:tcW w:w="1435" w:type="dxa"/>
            <w:vAlign w:val="center"/>
          </w:tcPr>
          <w:p>
            <w:pPr>
              <w:jc w:val="center"/>
              <w:rPr>
                <w:sz w:val="24"/>
              </w:rPr>
            </w:pPr>
            <w:r>
              <w:rPr>
                <w:rFonts w:hint="eastAsia"/>
                <w:sz w:val="24"/>
              </w:rPr>
              <w:t>政府采购合同</w:t>
            </w:r>
          </w:p>
        </w:tc>
        <w:tc>
          <w:tcPr>
            <w:tcW w:w="7556" w:type="dxa"/>
            <w:vAlign w:val="center"/>
          </w:tcPr>
          <w:p>
            <w:pPr>
              <w:spacing w:line="288" w:lineRule="auto"/>
              <w:jc w:val="left"/>
              <w:rPr>
                <w:rFonts w:ascii="宋体" w:hAnsi="宋体"/>
                <w:sz w:val="24"/>
              </w:rPr>
            </w:pPr>
            <w:r>
              <w:rPr>
                <w:rFonts w:hint="eastAsia" w:ascii="宋体" w:hAnsi="宋体"/>
                <w:sz w:val="24"/>
              </w:rPr>
              <w:t>政府采购合同：中标人应在政府采购合同签订后2个工作日内，将合同扫描件发送到jowena@163.com邮箱办理相关备案手续。</w:t>
            </w:r>
          </w:p>
          <w:p>
            <w:pPr>
              <w:spacing w:line="288" w:lineRule="auto"/>
              <w:jc w:val="left"/>
              <w:rPr>
                <w:rFonts w:ascii="宋体" w:hAnsi="宋体"/>
                <w:sz w:val="24"/>
              </w:rPr>
            </w:pPr>
            <w:r>
              <w:rPr>
                <w:rFonts w:hint="eastAsia" w:ascii="宋体" w:hAnsi="宋体"/>
                <w:sz w:val="24"/>
              </w:rPr>
              <w:t>邮件格式：项目编号+供应商名称+已签订采购合同。</w:t>
            </w:r>
          </w:p>
          <w:p>
            <w:pPr>
              <w:jc w:val="left"/>
              <w:rPr>
                <w:rFonts w:ascii="宋体" w:hAnsi="宋体"/>
                <w:sz w:val="24"/>
              </w:rPr>
            </w:pPr>
            <w:r>
              <w:rPr>
                <w:rFonts w:hint="eastAsia" w:ascii="宋体" w:hAnsi="宋体"/>
                <w:sz w:val="24"/>
              </w:rPr>
              <w:t>内附：（1）采购合同扫描件；（2）项目编号；（3）中标供应商名称；（4）采购合同签订日期。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ascii="Times New Roman" w:hAnsi="Times New Roman"/>
                <w:sz w:val="24"/>
                <w:szCs w:val="24"/>
              </w:rPr>
              <w:t>/</w:t>
            </w:r>
          </w:p>
        </w:tc>
        <w:tc>
          <w:tcPr>
            <w:tcW w:w="1435" w:type="dxa"/>
            <w:vAlign w:val="center"/>
          </w:tcPr>
          <w:p>
            <w:pPr>
              <w:jc w:val="center"/>
              <w:rPr>
                <w:sz w:val="24"/>
              </w:rPr>
            </w:pPr>
            <w:r>
              <w:rPr>
                <w:rFonts w:hint="eastAsia"/>
                <w:sz w:val="24"/>
              </w:rPr>
              <w:t>政策执行</w:t>
            </w:r>
          </w:p>
        </w:tc>
        <w:tc>
          <w:tcPr>
            <w:tcW w:w="7556" w:type="dxa"/>
            <w:vAlign w:val="center"/>
          </w:tcPr>
          <w:p>
            <w:pPr>
              <w:jc w:val="left"/>
              <w:rPr>
                <w:rFonts w:ascii="宋体" w:hAnsi="宋体"/>
                <w:sz w:val="24"/>
              </w:rPr>
            </w:pPr>
            <w:r>
              <w:rPr>
                <w:rFonts w:hint="eastAsia" w:ascii="宋体" w:hAnsi="宋体"/>
                <w:sz w:val="24"/>
              </w:rPr>
              <w:t>计算机（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w:t>
            </w:r>
          </w:p>
          <w:p>
            <w:pPr>
              <w:jc w:val="left"/>
              <w:rPr>
                <w:rFonts w:ascii="宋体" w:hAnsi="宋体"/>
                <w:sz w:val="24"/>
              </w:rPr>
            </w:pPr>
            <w:r>
              <w:rPr>
                <w:rFonts w:hint="eastAsia" w:ascii="宋体" w:hAnsi="宋体"/>
                <w:sz w:val="24"/>
              </w:rPr>
              <w:t>荧光灯）、电视设备（普通电视设备）、视频监控设备（视频监控设备）、便器、水嘴等为政府强制采购节能产品。强制节能产品不予加分；如不符合强制节能产品，投标文件将被拒绝。</w:t>
            </w:r>
          </w:p>
        </w:tc>
      </w:tr>
    </w:tbl>
    <w:p>
      <w:pPr>
        <w:tabs>
          <w:tab w:val="left" w:pos="5580"/>
        </w:tabs>
        <w:adjustRightInd w:val="0"/>
        <w:spacing w:line="360" w:lineRule="auto"/>
        <w:jc w:val="distribute"/>
        <w:rPr>
          <w:sz w:val="24"/>
        </w:rPr>
        <w:sectPr>
          <w:footerReference r:id="rId10" w:type="first"/>
          <w:footerReference r:id="rId9" w:type="default"/>
          <w:pgSz w:w="11907" w:h="16840"/>
          <w:pgMar w:top="1418" w:right="1134" w:bottom="1418" w:left="1701" w:header="851" w:footer="851" w:gutter="0"/>
          <w:pgNumType w:fmt="decimal" w:start="1"/>
          <w:cols w:space="720" w:num="1"/>
          <w:titlePg/>
          <w:docGrid w:linePitch="462" w:charSpace="0"/>
        </w:sectPr>
      </w:pPr>
    </w:p>
    <w:p>
      <w:pPr>
        <w:spacing w:before="312" w:beforeLines="100" w:after="312" w:afterLines="100"/>
        <w:jc w:val="center"/>
        <w:rPr>
          <w:b/>
          <w:sz w:val="28"/>
          <w:szCs w:val="28"/>
        </w:rPr>
      </w:pPr>
      <w:r>
        <w:rPr>
          <w:b/>
          <w:sz w:val="28"/>
          <w:szCs w:val="28"/>
        </w:rPr>
        <w:t>供应商须知</w:t>
      </w:r>
    </w:p>
    <w:p>
      <w:pPr>
        <w:pStyle w:val="4"/>
        <w:tabs>
          <w:tab w:val="center" w:pos="4592"/>
          <w:tab w:val="left" w:pos="7860"/>
        </w:tabs>
        <w:spacing w:before="0" w:line="360" w:lineRule="auto"/>
        <w:jc w:val="left"/>
        <w:rPr>
          <w:rFonts w:ascii="Times New Roman" w:hAnsi="Times New Roman" w:eastAsia="宋体"/>
          <w:sz w:val="28"/>
        </w:rPr>
      </w:pPr>
      <w:bookmarkStart w:id="76" w:name="_Toc127151518"/>
      <w:bookmarkStart w:id="77" w:name="_Toc520356143"/>
      <w:r>
        <w:rPr>
          <w:rFonts w:ascii="Times New Roman" w:hAnsi="Times New Roman" w:eastAsia="宋体"/>
          <w:sz w:val="28"/>
        </w:rPr>
        <w:tab/>
      </w:r>
      <w:bookmarkStart w:id="78" w:name="_Toc151193832"/>
      <w:bookmarkStart w:id="79" w:name="_Toc195842883"/>
      <w:bookmarkStart w:id="80" w:name="_Toc142311020"/>
      <w:bookmarkStart w:id="81" w:name="_Toc150774618"/>
      <w:bookmarkStart w:id="82" w:name="_Toc151193688"/>
      <w:bookmarkStart w:id="83" w:name="_Toc226337214"/>
      <w:bookmarkStart w:id="84" w:name="_Toc150509269"/>
      <w:bookmarkStart w:id="85" w:name="_Toc226965791"/>
      <w:bookmarkStart w:id="86" w:name="_Toc151193760"/>
      <w:bookmarkStart w:id="87" w:name="_Toc150774723"/>
      <w:bookmarkStart w:id="88" w:name="_Toc226309762"/>
      <w:bookmarkStart w:id="89" w:name="_Toc151193906"/>
      <w:bookmarkStart w:id="90" w:name="_Toc226965708"/>
      <w:bookmarkStart w:id="91" w:name="_Toc151193616"/>
      <w:bookmarkStart w:id="92" w:name="_Toc264969208"/>
      <w:bookmarkStart w:id="93" w:name="_Toc305158786"/>
      <w:bookmarkStart w:id="94" w:name="_Toc151190145"/>
      <w:bookmarkStart w:id="95" w:name="_Toc305158860"/>
      <w:bookmarkStart w:id="96" w:name="_Toc265228356"/>
      <w:bookmarkStart w:id="97" w:name="_Toc150480756"/>
      <w:r>
        <w:rPr>
          <w:rFonts w:ascii="Times New Roman" w:hAnsi="Times New Roman" w:eastAsia="宋体"/>
          <w:sz w:val="28"/>
        </w:rPr>
        <w:t>一   说  明</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Times New Roman" w:hAnsi="Times New Roman" w:eastAsia="宋体"/>
          <w:sz w:val="28"/>
        </w:rPr>
        <w:tab/>
      </w:r>
    </w:p>
    <w:p>
      <w:pPr>
        <w:numPr>
          <w:ilvl w:val="0"/>
          <w:numId w:val="3"/>
        </w:numPr>
        <w:tabs>
          <w:tab w:val="left" w:pos="360"/>
          <w:tab w:val="clear" w:pos="900"/>
        </w:tabs>
        <w:snapToGrid w:val="0"/>
        <w:spacing w:line="360" w:lineRule="auto"/>
        <w:ind w:left="357" w:hanging="357"/>
        <w:outlineLvl w:val="1"/>
        <w:rPr>
          <w:sz w:val="24"/>
        </w:rPr>
      </w:pPr>
      <w:bookmarkStart w:id="98" w:name="_Toc265228357"/>
      <w:bookmarkStart w:id="99" w:name="_Toc264969209"/>
      <w:bookmarkStart w:id="100" w:name="_Toc305158787"/>
      <w:bookmarkStart w:id="101" w:name="_Toc305158861"/>
      <w:r>
        <w:rPr>
          <w:sz w:val="24"/>
        </w:rPr>
        <w:t>采购人、采购代理机构、供应商</w:t>
      </w:r>
      <w:bookmarkEnd w:id="98"/>
      <w:bookmarkEnd w:id="99"/>
      <w:bookmarkEnd w:id="100"/>
      <w:bookmarkEnd w:id="101"/>
      <w:r>
        <w:rPr>
          <w:sz w:val="24"/>
        </w:rPr>
        <w:t>、联合体</w:t>
      </w:r>
    </w:p>
    <w:p>
      <w:pPr>
        <w:numPr>
          <w:ilvl w:val="1"/>
          <w:numId w:val="3"/>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pPr>
        <w:numPr>
          <w:ilvl w:val="1"/>
          <w:numId w:val="3"/>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pPr>
        <w:numPr>
          <w:ilvl w:val="1"/>
          <w:numId w:val="3"/>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3"/>
        </w:numPr>
        <w:tabs>
          <w:tab w:val="left" w:pos="360"/>
          <w:tab w:val="clear" w:pos="900"/>
        </w:tabs>
        <w:snapToGrid w:val="0"/>
        <w:spacing w:line="360" w:lineRule="auto"/>
        <w:ind w:left="357" w:hanging="357"/>
        <w:outlineLvl w:val="1"/>
        <w:rPr>
          <w:sz w:val="24"/>
        </w:rPr>
      </w:pPr>
      <w:bookmarkStart w:id="102" w:name="_Toc164608789"/>
      <w:bookmarkStart w:id="103" w:name="_Toc164229361"/>
      <w:bookmarkStart w:id="104" w:name="_Toc151193834"/>
      <w:bookmarkStart w:id="105" w:name="_Toc226309764"/>
      <w:bookmarkStart w:id="106" w:name="_Toc226965793"/>
      <w:bookmarkStart w:id="107" w:name="_Toc151190147"/>
      <w:bookmarkStart w:id="108" w:name="_Toc164351614"/>
      <w:bookmarkStart w:id="109" w:name="_Toc151193762"/>
      <w:bookmarkStart w:id="110" w:name="_Toc151193908"/>
      <w:bookmarkStart w:id="111" w:name="_Toc151193690"/>
      <w:bookmarkStart w:id="112" w:name="_Toc150509271"/>
      <w:bookmarkStart w:id="113" w:name="_Toc151193618"/>
      <w:bookmarkStart w:id="114" w:name="_Toc265228358"/>
      <w:bookmarkStart w:id="115" w:name="_Toc226337216"/>
      <w:bookmarkStart w:id="116" w:name="_Toc150774620"/>
      <w:bookmarkStart w:id="117" w:name="_Toc150774725"/>
      <w:bookmarkStart w:id="118" w:name="_Toc164608634"/>
      <w:bookmarkStart w:id="119" w:name="_Toc142311022"/>
      <w:bookmarkStart w:id="120" w:name="_Toc127161434"/>
      <w:bookmarkStart w:id="121" w:name="_Toc226965710"/>
      <w:bookmarkStart w:id="122" w:name="_Toc164229215"/>
      <w:bookmarkStart w:id="123" w:name="_Toc305158862"/>
      <w:bookmarkStart w:id="124" w:name="_Toc127151520"/>
      <w:bookmarkStart w:id="125" w:name="_Toc150480758"/>
      <w:bookmarkStart w:id="126" w:name="_Toc149720813"/>
      <w:bookmarkStart w:id="127" w:name="_Toc264969210"/>
      <w:bookmarkStart w:id="128" w:name="_Toc195842885"/>
      <w:bookmarkStart w:id="129" w:name="_Toc305158788"/>
      <w:bookmarkStart w:id="130" w:name="_Toc127151721"/>
      <w:r>
        <w:rPr>
          <w:sz w:val="24"/>
        </w:rPr>
        <w:t>资金来源</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sz w:val="24"/>
        </w:rPr>
        <w:t>、项目属性、科研仪器设备采购</w:t>
      </w:r>
    </w:p>
    <w:p>
      <w:pPr>
        <w:numPr>
          <w:ilvl w:val="1"/>
          <w:numId w:val="3"/>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3"/>
        </w:numPr>
        <w:tabs>
          <w:tab w:val="left" w:pos="1080"/>
          <w:tab w:val="left" w:pos="2014"/>
        </w:tabs>
        <w:snapToGrid w:val="0"/>
        <w:spacing w:line="360" w:lineRule="auto"/>
        <w:ind w:left="1080" w:hanging="720"/>
        <w:rPr>
          <w:sz w:val="24"/>
        </w:rPr>
      </w:pPr>
      <w:r>
        <w:rPr>
          <w:sz w:val="24"/>
        </w:rPr>
        <w:t>项目属性见《供应商须知资料表》。</w:t>
      </w:r>
    </w:p>
    <w:p>
      <w:pPr>
        <w:numPr>
          <w:ilvl w:val="1"/>
          <w:numId w:val="3"/>
        </w:numPr>
        <w:tabs>
          <w:tab w:val="left" w:pos="1080"/>
          <w:tab w:val="left" w:pos="2014"/>
        </w:tabs>
        <w:snapToGrid w:val="0"/>
        <w:spacing w:line="360" w:lineRule="auto"/>
        <w:ind w:left="1080" w:hanging="720"/>
        <w:rPr>
          <w:sz w:val="24"/>
        </w:rPr>
      </w:pPr>
      <w:r>
        <w:rPr>
          <w:sz w:val="24"/>
        </w:rPr>
        <w:t>是否属于科研仪器设备采购见《供应商须知资料表》。</w:t>
      </w:r>
    </w:p>
    <w:p>
      <w:pPr>
        <w:numPr>
          <w:ilvl w:val="0"/>
          <w:numId w:val="3"/>
        </w:numPr>
        <w:tabs>
          <w:tab w:val="left" w:pos="360"/>
        </w:tabs>
        <w:snapToGrid w:val="0"/>
        <w:spacing w:line="360" w:lineRule="auto"/>
        <w:ind w:left="357" w:hanging="357"/>
        <w:outlineLvl w:val="1"/>
        <w:rPr>
          <w:sz w:val="24"/>
        </w:rPr>
      </w:pPr>
      <w:r>
        <w:rPr>
          <w:sz w:val="24"/>
        </w:rPr>
        <w:t>现场考察、磋商前答疑会</w:t>
      </w:r>
    </w:p>
    <w:p>
      <w:pPr>
        <w:numPr>
          <w:ilvl w:val="1"/>
          <w:numId w:val="3"/>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31" w:name="_Toc305158790"/>
      <w:bookmarkStart w:id="132" w:name="_Toc151193620"/>
      <w:bookmarkStart w:id="133" w:name="_Toc151190149"/>
      <w:bookmarkStart w:id="134" w:name="_Toc150509273"/>
      <w:bookmarkStart w:id="135" w:name="_Toc151193836"/>
      <w:bookmarkStart w:id="136" w:name="_Toc226965795"/>
      <w:bookmarkStart w:id="137" w:name="_Toc226309766"/>
      <w:bookmarkStart w:id="138" w:name="_Toc151193692"/>
      <w:bookmarkStart w:id="139" w:name="_Toc226965712"/>
      <w:bookmarkStart w:id="140" w:name="_Toc195842887"/>
      <w:bookmarkStart w:id="141" w:name="_Toc150774622"/>
      <w:bookmarkStart w:id="142" w:name="_Toc226337218"/>
      <w:bookmarkStart w:id="143" w:name="_Toc150774727"/>
      <w:bookmarkStart w:id="144" w:name="_Toc127151522"/>
      <w:bookmarkStart w:id="145" w:name="_Toc151193764"/>
      <w:bookmarkStart w:id="146" w:name="_Toc520356146"/>
      <w:bookmarkStart w:id="147" w:name="_Toc305158864"/>
      <w:bookmarkStart w:id="148" w:name="_Toc150480760"/>
      <w:bookmarkStart w:id="149" w:name="_Toc265228360"/>
      <w:bookmarkStart w:id="150" w:name="_Toc142311024"/>
      <w:bookmarkStart w:id="151" w:name="_Toc151193910"/>
      <w:bookmarkStart w:id="152" w:name="_Toc264969212"/>
    </w:p>
    <w:p>
      <w:pPr>
        <w:numPr>
          <w:ilvl w:val="1"/>
          <w:numId w:val="3"/>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pPr>
        <w:numPr>
          <w:ilvl w:val="0"/>
          <w:numId w:val="3"/>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pPr>
        <w:numPr>
          <w:ilvl w:val="1"/>
          <w:numId w:val="3"/>
        </w:numPr>
        <w:tabs>
          <w:tab w:val="left" w:pos="1080"/>
          <w:tab w:val="left" w:pos="2014"/>
        </w:tabs>
        <w:snapToGrid w:val="0"/>
        <w:spacing w:line="360" w:lineRule="auto"/>
        <w:ind w:left="1080" w:hanging="720"/>
        <w:rPr>
          <w:sz w:val="24"/>
        </w:rPr>
      </w:pPr>
      <w:r>
        <w:rPr>
          <w:sz w:val="24"/>
        </w:rPr>
        <w:t>进口产品</w:t>
      </w:r>
    </w:p>
    <w:p>
      <w:pPr>
        <w:numPr>
          <w:ilvl w:val="2"/>
          <w:numId w:val="3"/>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2"/>
          <w:numId w:val="3"/>
        </w:numPr>
        <w:tabs>
          <w:tab w:val="left" w:pos="2014"/>
        </w:tabs>
        <w:snapToGrid w:val="0"/>
        <w:spacing w:line="360" w:lineRule="auto"/>
        <w:rPr>
          <w:sz w:val="24"/>
        </w:rPr>
      </w:pPr>
      <w:r>
        <w:rPr>
          <w:sz w:val="24"/>
        </w:rPr>
        <w:t>本项目是否接受进口产品见第四章《采购需求》。</w:t>
      </w:r>
    </w:p>
    <w:p>
      <w:pPr>
        <w:numPr>
          <w:ilvl w:val="1"/>
          <w:numId w:val="3"/>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3"/>
        </w:numPr>
        <w:snapToGrid w:val="0"/>
        <w:spacing w:line="360" w:lineRule="auto"/>
        <w:rPr>
          <w:sz w:val="24"/>
        </w:rPr>
      </w:pPr>
      <w:r>
        <w:rPr>
          <w:sz w:val="24"/>
        </w:rPr>
        <w:t>中小企业定义：</w:t>
      </w:r>
    </w:p>
    <w:p>
      <w:pPr>
        <w:numPr>
          <w:ilvl w:val="3"/>
          <w:numId w:val="3"/>
        </w:numPr>
        <w:tabs>
          <w:tab w:val="left" w:pos="1980"/>
          <w:tab w:val="left" w:pos="2035"/>
        </w:tabs>
        <w:snapToGrid w:val="0"/>
        <w:spacing w:line="360" w:lineRule="auto"/>
        <w:ind w:left="2082" w:leftChars="500" w:hanging="1032" w:hangingChars="430"/>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numPr>
          <w:ilvl w:val="3"/>
          <w:numId w:val="3"/>
        </w:numPr>
        <w:tabs>
          <w:tab w:val="left" w:pos="1980"/>
          <w:tab w:val="left" w:pos="2035"/>
        </w:tabs>
        <w:snapToGrid w:val="0"/>
        <w:spacing w:line="360" w:lineRule="auto"/>
        <w:ind w:left="2082" w:leftChars="500" w:hanging="1032" w:hangingChars="430"/>
        <w:rPr>
          <w:sz w:val="24"/>
        </w:rPr>
      </w:pPr>
      <w:r>
        <w:rPr>
          <w:sz w:val="24"/>
        </w:rPr>
        <w:t>供应商提供的货物、工程或者服务符合下列情形的，享受中小企业扶持政策：</w:t>
      </w:r>
    </w:p>
    <w:p>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pPr>
        <w:numPr>
          <w:ilvl w:val="3"/>
          <w:numId w:val="3"/>
        </w:numPr>
        <w:tabs>
          <w:tab w:val="left" w:pos="1980"/>
          <w:tab w:val="left" w:pos="2035"/>
        </w:tabs>
        <w:snapToGrid w:val="0"/>
        <w:spacing w:line="360" w:lineRule="auto"/>
        <w:ind w:left="2082" w:leftChars="500" w:hanging="1032" w:hangingChars="430"/>
        <w:rPr>
          <w:sz w:val="24"/>
        </w:rPr>
      </w:pPr>
      <w:r>
        <w:rPr>
          <w:sz w:val="24"/>
        </w:rPr>
        <w:t>在货物采购项目中，供应商提供的货物既有中小企业制造货物，也有大型企业制造货物的，不享受中小企业扶持政策。</w:t>
      </w:r>
    </w:p>
    <w:p>
      <w:pPr>
        <w:numPr>
          <w:ilvl w:val="3"/>
          <w:numId w:val="3"/>
        </w:numPr>
        <w:tabs>
          <w:tab w:val="left" w:pos="1980"/>
          <w:tab w:val="left" w:pos="2035"/>
        </w:tabs>
        <w:snapToGrid w:val="0"/>
        <w:spacing w:line="360" w:lineRule="auto"/>
        <w:ind w:left="2082" w:leftChars="500" w:hanging="1032" w:hangingChars="430"/>
        <w:rPr>
          <w:sz w:val="24"/>
        </w:rPr>
      </w:pPr>
      <w:r>
        <w:rPr>
          <w:sz w:val="24"/>
        </w:rPr>
        <w:t>以联合体形式参加政府采购活动，联合体各方均为中小企业的，联合体视同中小企业。其中，联合体各方均为小微企业的，联合体视同小微企业。</w:t>
      </w:r>
    </w:p>
    <w:p>
      <w:pPr>
        <w:numPr>
          <w:ilvl w:val="3"/>
          <w:numId w:val="3"/>
        </w:numPr>
        <w:tabs>
          <w:tab w:val="left" w:pos="1980"/>
          <w:tab w:val="left" w:pos="2035"/>
        </w:tabs>
        <w:snapToGrid w:val="0"/>
        <w:spacing w:line="360" w:lineRule="auto"/>
        <w:ind w:left="2082" w:leftChars="500" w:hanging="1032" w:hangingChars="430"/>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3"/>
        </w:numPr>
        <w:snapToGrid w:val="0"/>
        <w:spacing w:line="360" w:lineRule="auto"/>
        <w:rPr>
          <w:sz w:val="24"/>
        </w:rPr>
      </w:pPr>
      <w:r>
        <w:rPr>
          <w:sz w:val="24"/>
        </w:rPr>
        <w:t>残疾人福利单位定义：享受政府采购支持政策的残疾人福利性单位应当同时满足以下条件：</w:t>
      </w:r>
    </w:p>
    <w:p>
      <w:pPr>
        <w:numPr>
          <w:ilvl w:val="3"/>
          <w:numId w:val="3"/>
        </w:numPr>
        <w:tabs>
          <w:tab w:val="left" w:pos="1980"/>
          <w:tab w:val="left" w:pos="2035"/>
        </w:tabs>
        <w:snapToGrid w:val="0"/>
        <w:spacing w:line="360" w:lineRule="auto"/>
        <w:ind w:left="2082" w:leftChars="500" w:hanging="1032" w:hangingChars="430"/>
        <w:rPr>
          <w:sz w:val="24"/>
        </w:rPr>
      </w:pPr>
      <w:r>
        <w:rPr>
          <w:sz w:val="24"/>
        </w:rPr>
        <w:t>安置的残疾人占本单位在职职工人数的比例不低于25%（含25%），并且安置的残疾人人数不少于10 人（含10 人）；</w:t>
      </w:r>
    </w:p>
    <w:p>
      <w:pPr>
        <w:numPr>
          <w:ilvl w:val="3"/>
          <w:numId w:val="3"/>
        </w:numPr>
        <w:tabs>
          <w:tab w:val="left" w:pos="1980"/>
          <w:tab w:val="left" w:pos="2035"/>
        </w:tabs>
        <w:snapToGrid w:val="0"/>
        <w:spacing w:line="360" w:lineRule="auto"/>
        <w:ind w:left="2082" w:leftChars="500" w:hanging="1032" w:hangingChars="430"/>
        <w:rPr>
          <w:sz w:val="24"/>
        </w:rPr>
      </w:pPr>
      <w:r>
        <w:rPr>
          <w:sz w:val="24"/>
        </w:rPr>
        <w:t>依法与安置的每位残疾人签订了一年以上（含一年）的劳动合同或服务协议；</w:t>
      </w:r>
    </w:p>
    <w:p>
      <w:pPr>
        <w:numPr>
          <w:ilvl w:val="3"/>
          <w:numId w:val="3"/>
        </w:numPr>
        <w:tabs>
          <w:tab w:val="left" w:pos="1980"/>
          <w:tab w:val="left" w:pos="2035"/>
        </w:tabs>
        <w:snapToGrid w:val="0"/>
        <w:spacing w:line="360" w:lineRule="auto"/>
        <w:ind w:left="2082" w:leftChars="500" w:hanging="1032" w:hangingChars="430"/>
        <w:rPr>
          <w:sz w:val="24"/>
        </w:rPr>
      </w:pPr>
      <w:r>
        <w:rPr>
          <w:sz w:val="24"/>
        </w:rPr>
        <w:t>为安置的每位残疾人按月足额缴纳了基本养老保险、基本医疗保险、失业保险、工伤保险和生育保险等社会保险费；</w:t>
      </w:r>
    </w:p>
    <w:p>
      <w:pPr>
        <w:numPr>
          <w:ilvl w:val="3"/>
          <w:numId w:val="3"/>
        </w:numPr>
        <w:tabs>
          <w:tab w:val="left" w:pos="1980"/>
          <w:tab w:val="left" w:pos="2035"/>
        </w:tabs>
        <w:snapToGrid w:val="0"/>
        <w:spacing w:line="360" w:lineRule="auto"/>
        <w:ind w:left="2082" w:leftChars="500" w:hanging="1032" w:hangingChars="430"/>
        <w:rPr>
          <w:sz w:val="24"/>
        </w:rPr>
      </w:pPr>
      <w:r>
        <w:rPr>
          <w:sz w:val="24"/>
        </w:rPr>
        <w:t>通过银行等金融机构向安置的每位残疾人，按月支付了不低于单位所在区县适用的经省级人民政府批准的月最低工资标准的工资；</w:t>
      </w:r>
    </w:p>
    <w:p>
      <w:pPr>
        <w:numPr>
          <w:ilvl w:val="3"/>
          <w:numId w:val="3"/>
        </w:numPr>
        <w:tabs>
          <w:tab w:val="left" w:pos="1980"/>
          <w:tab w:val="left" w:pos="2035"/>
        </w:tabs>
        <w:snapToGrid w:val="0"/>
        <w:spacing w:line="360" w:lineRule="auto"/>
        <w:ind w:left="2082" w:leftChars="500" w:hanging="1032" w:hangingChars="430"/>
        <w:rPr>
          <w:sz w:val="24"/>
        </w:rPr>
      </w:pPr>
      <w:r>
        <w:rPr>
          <w:sz w:val="24"/>
        </w:rPr>
        <w:t>提供本单位制造的货物、承担的工程或者服务（以下简称产品），或者提供其他残疾人福利性单位制造的货物（不包括使用非残疾人福利性单位注册商标的货物）；</w:t>
      </w:r>
    </w:p>
    <w:p>
      <w:pPr>
        <w:numPr>
          <w:ilvl w:val="3"/>
          <w:numId w:val="3"/>
        </w:numPr>
        <w:tabs>
          <w:tab w:val="left" w:pos="1980"/>
          <w:tab w:val="left" w:pos="2035"/>
        </w:tabs>
        <w:snapToGrid w:val="0"/>
        <w:spacing w:line="360" w:lineRule="auto"/>
        <w:ind w:left="2082" w:leftChars="500" w:hanging="1032" w:hangingChars="430"/>
        <w:rPr>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3"/>
        </w:numPr>
        <w:snapToGrid w:val="0"/>
        <w:spacing w:line="360" w:lineRule="auto"/>
        <w:rPr>
          <w:sz w:val="24"/>
        </w:rPr>
      </w:pPr>
      <w:r>
        <w:rPr>
          <w:sz w:val="24"/>
        </w:rPr>
        <w:t>本项目是否专门面向中小企业预留采购份额见第一章《采购邀请》。</w:t>
      </w:r>
    </w:p>
    <w:p>
      <w:pPr>
        <w:numPr>
          <w:ilvl w:val="2"/>
          <w:numId w:val="3"/>
        </w:numPr>
        <w:snapToGrid w:val="0"/>
        <w:spacing w:line="360" w:lineRule="auto"/>
        <w:rPr>
          <w:sz w:val="24"/>
        </w:rPr>
      </w:pPr>
      <w:r>
        <w:rPr>
          <w:sz w:val="24"/>
        </w:rPr>
        <w:t>采购标的对应的中小企业划分标准所属行业见《供应商须知资料表》。</w:t>
      </w:r>
    </w:p>
    <w:p>
      <w:pPr>
        <w:numPr>
          <w:ilvl w:val="2"/>
          <w:numId w:val="3"/>
        </w:numPr>
        <w:snapToGrid w:val="0"/>
        <w:spacing w:line="360" w:lineRule="auto"/>
        <w:rPr>
          <w:sz w:val="24"/>
        </w:rPr>
      </w:pPr>
      <w:r>
        <w:rPr>
          <w:sz w:val="24"/>
        </w:rPr>
        <w:t>小微企业价格评审优惠的政策调整：见第三章《评审方法和评审标准》。</w:t>
      </w:r>
    </w:p>
    <w:p>
      <w:pPr>
        <w:numPr>
          <w:ilvl w:val="1"/>
          <w:numId w:val="3"/>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3"/>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3"/>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3"/>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pPr>
        <w:numPr>
          <w:ilvl w:val="2"/>
          <w:numId w:val="3"/>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pPr>
        <w:numPr>
          <w:ilvl w:val="1"/>
          <w:numId w:val="3"/>
        </w:numPr>
        <w:tabs>
          <w:tab w:val="left" w:pos="1080"/>
          <w:tab w:val="left" w:pos="2014"/>
        </w:tabs>
        <w:snapToGrid w:val="0"/>
        <w:spacing w:line="360" w:lineRule="auto"/>
        <w:ind w:left="1080" w:hanging="720"/>
        <w:rPr>
          <w:sz w:val="24"/>
        </w:rPr>
      </w:pPr>
      <w:r>
        <w:rPr>
          <w:sz w:val="24"/>
        </w:rPr>
        <w:t>支持乡村产业振兴管理</w:t>
      </w:r>
    </w:p>
    <w:p>
      <w:pPr>
        <w:numPr>
          <w:ilvl w:val="2"/>
          <w:numId w:val="3"/>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为落实《关于运用政府采购政策支持乡村产业振兴的通知》（财库〔2021〕19号）有关要求，做好支持脱贫攻坚工作，本项目采购活动中对于支持乡村振兴管理的相关要求见第四章《采购需求》（如涉及）。</w:t>
      </w:r>
    </w:p>
    <w:p>
      <w:pPr>
        <w:numPr>
          <w:ilvl w:val="1"/>
          <w:numId w:val="3"/>
        </w:numPr>
        <w:tabs>
          <w:tab w:val="left" w:pos="1080"/>
          <w:tab w:val="left" w:pos="2014"/>
        </w:tabs>
        <w:snapToGrid w:val="0"/>
        <w:spacing w:line="360" w:lineRule="auto"/>
        <w:ind w:left="1080" w:hanging="720"/>
        <w:rPr>
          <w:sz w:val="24"/>
        </w:rPr>
      </w:pPr>
      <w:r>
        <w:rPr>
          <w:sz w:val="24"/>
        </w:rPr>
        <w:t>正版软件</w:t>
      </w:r>
    </w:p>
    <w:p>
      <w:pPr>
        <w:numPr>
          <w:ilvl w:val="2"/>
          <w:numId w:val="3"/>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3"/>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3"/>
        </w:numPr>
        <w:tabs>
          <w:tab w:val="left" w:pos="1080"/>
          <w:tab w:val="left" w:pos="2014"/>
        </w:tabs>
        <w:snapToGrid w:val="0"/>
        <w:spacing w:line="360" w:lineRule="auto"/>
        <w:ind w:left="1080" w:hanging="720"/>
        <w:rPr>
          <w:sz w:val="24"/>
        </w:rPr>
      </w:pPr>
      <w:r>
        <w:rPr>
          <w:sz w:val="24"/>
        </w:rPr>
        <w:t>信息安全产品</w:t>
      </w:r>
    </w:p>
    <w:p>
      <w:pPr>
        <w:numPr>
          <w:ilvl w:val="2"/>
          <w:numId w:val="3"/>
        </w:numPr>
        <w:tabs>
          <w:tab w:val="left" w:pos="2014"/>
        </w:tabs>
        <w:snapToGrid w:val="0"/>
        <w:spacing w:line="360" w:lineRule="auto"/>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。关于信息安全相关规定依据《关于信息安全产品实施政府采购的通知》（财库〔2010〕48 号）。</w:t>
      </w:r>
    </w:p>
    <w:p>
      <w:pPr>
        <w:numPr>
          <w:ilvl w:val="1"/>
          <w:numId w:val="3"/>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3"/>
        </w:numPr>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pPr>
        <w:numPr>
          <w:ilvl w:val="0"/>
          <w:numId w:val="3"/>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pPr>
        <w:numPr>
          <w:ilvl w:val="1"/>
          <w:numId w:val="3"/>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sz w:val="28"/>
        </w:rPr>
      </w:pPr>
      <w:bookmarkStart w:id="153" w:name="_1.8_计量单位"/>
      <w:bookmarkEnd w:id="153"/>
    </w:p>
    <w:p>
      <w:pPr>
        <w:pStyle w:val="4"/>
        <w:spacing w:before="0" w:line="360" w:lineRule="auto"/>
        <w:rPr>
          <w:rFonts w:ascii="Times New Roman" w:hAnsi="Times New Roman" w:eastAsia="宋体"/>
          <w:sz w:val="28"/>
        </w:rPr>
      </w:pPr>
      <w:r>
        <w:rPr>
          <w:rFonts w:ascii="Times New Roman" w:hAnsi="Times New Roman" w:eastAsia="宋体"/>
          <w:sz w:val="28"/>
        </w:rPr>
        <w:t>二   竞争性磋商文件</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numPr>
          <w:ilvl w:val="0"/>
          <w:numId w:val="3"/>
        </w:numPr>
        <w:tabs>
          <w:tab w:val="left" w:pos="360"/>
        </w:tabs>
        <w:snapToGrid w:val="0"/>
        <w:spacing w:line="360" w:lineRule="auto"/>
        <w:ind w:left="357" w:hanging="357"/>
        <w:outlineLvl w:val="1"/>
        <w:rPr>
          <w:sz w:val="24"/>
        </w:rPr>
      </w:pPr>
      <w:bookmarkStart w:id="154" w:name="_Toc151193765"/>
      <w:bookmarkStart w:id="155" w:name="_Toc151193911"/>
      <w:bookmarkStart w:id="156" w:name="_Toc164351617"/>
      <w:bookmarkStart w:id="157" w:name="_Toc226965796"/>
      <w:bookmarkStart w:id="158" w:name="_Toc151193837"/>
      <w:bookmarkStart w:id="159" w:name="_Toc142311025"/>
      <w:bookmarkStart w:id="160" w:name="_Toc264969213"/>
      <w:bookmarkStart w:id="161" w:name="_Toc520356147"/>
      <w:bookmarkStart w:id="162" w:name="_Toc150774728"/>
      <w:bookmarkStart w:id="163" w:name="_Toc305158791"/>
      <w:bookmarkStart w:id="164" w:name="_Toc127151724"/>
      <w:bookmarkStart w:id="165" w:name="_Toc226965713"/>
      <w:bookmarkStart w:id="166" w:name="_Toc226337219"/>
      <w:bookmarkStart w:id="167" w:name="_Toc151190150"/>
      <w:bookmarkStart w:id="168" w:name="_Toc195842888"/>
      <w:bookmarkStart w:id="169" w:name="_Toc305158865"/>
      <w:bookmarkStart w:id="170" w:name="_Toc149720816"/>
      <w:bookmarkStart w:id="171" w:name="_Toc127161437"/>
      <w:bookmarkStart w:id="172" w:name="_Toc150509274"/>
      <w:bookmarkStart w:id="173" w:name="_Toc226309767"/>
      <w:bookmarkStart w:id="174" w:name="_Toc127151523"/>
      <w:bookmarkStart w:id="175" w:name="_Toc164229364"/>
      <w:bookmarkStart w:id="176" w:name="_Toc150480761"/>
      <w:bookmarkStart w:id="177" w:name="_Toc151193621"/>
      <w:bookmarkStart w:id="178" w:name="_Toc164229218"/>
      <w:bookmarkStart w:id="179" w:name="_Toc164608792"/>
      <w:bookmarkStart w:id="180" w:name="_Toc151193693"/>
      <w:bookmarkStart w:id="181" w:name="_Toc150774623"/>
      <w:bookmarkStart w:id="182" w:name="_Toc164608637"/>
      <w:bookmarkStart w:id="183" w:name="_Toc265228361"/>
      <w:r>
        <w:rPr>
          <w:sz w:val="24"/>
        </w:rPr>
        <w:t>竞争性磋商文件构</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sz w:val="24"/>
        </w:rPr>
        <w:t>成</w:t>
      </w:r>
    </w:p>
    <w:p>
      <w:pPr>
        <w:numPr>
          <w:ilvl w:val="1"/>
          <w:numId w:val="3"/>
        </w:numPr>
        <w:tabs>
          <w:tab w:val="left" w:pos="1080"/>
          <w:tab w:val="left" w:pos="2014"/>
        </w:tabs>
        <w:snapToGrid w:val="0"/>
        <w:spacing w:line="360" w:lineRule="auto"/>
        <w:ind w:left="1080" w:hanging="720"/>
        <w:rPr>
          <w:sz w:val="24"/>
        </w:rPr>
      </w:pPr>
      <w:r>
        <w:rPr>
          <w:sz w:val="24"/>
        </w:rPr>
        <w:t>竞争性磋商文件包括以下部分：</w:t>
      </w:r>
    </w:p>
    <w:p>
      <w:pPr>
        <w:numPr>
          <w:ilvl w:val="0"/>
          <w:numId w:val="4"/>
        </w:numPr>
        <w:tabs>
          <w:tab w:val="left" w:pos="1980"/>
          <w:tab w:val="left" w:pos="2520"/>
        </w:tabs>
        <w:snapToGrid w:val="0"/>
        <w:spacing w:line="360" w:lineRule="auto"/>
        <w:ind w:left="1440" w:firstLine="5"/>
        <w:rPr>
          <w:sz w:val="24"/>
        </w:rPr>
      </w:pPr>
      <w:r>
        <w:rPr>
          <w:sz w:val="24"/>
        </w:rPr>
        <w:t>采购邀请</w:t>
      </w:r>
    </w:p>
    <w:p>
      <w:pPr>
        <w:numPr>
          <w:ilvl w:val="0"/>
          <w:numId w:val="4"/>
        </w:numPr>
        <w:tabs>
          <w:tab w:val="left" w:pos="1980"/>
          <w:tab w:val="left" w:pos="2520"/>
        </w:tabs>
        <w:snapToGrid w:val="0"/>
        <w:spacing w:line="360" w:lineRule="auto"/>
        <w:ind w:left="1440" w:firstLine="5"/>
        <w:rPr>
          <w:sz w:val="24"/>
        </w:rPr>
      </w:pPr>
      <w:r>
        <w:rPr>
          <w:sz w:val="24"/>
        </w:rPr>
        <w:t>供应商须知</w:t>
      </w:r>
    </w:p>
    <w:p>
      <w:pPr>
        <w:numPr>
          <w:ilvl w:val="0"/>
          <w:numId w:val="4"/>
        </w:numPr>
        <w:tabs>
          <w:tab w:val="left" w:pos="1980"/>
          <w:tab w:val="left" w:pos="2520"/>
        </w:tabs>
        <w:snapToGrid w:val="0"/>
        <w:spacing w:line="360" w:lineRule="auto"/>
        <w:ind w:left="1440" w:firstLine="5"/>
        <w:rPr>
          <w:sz w:val="24"/>
        </w:rPr>
      </w:pPr>
      <w:r>
        <w:rPr>
          <w:sz w:val="24"/>
        </w:rPr>
        <w:t>评审方法和评审标准</w:t>
      </w:r>
    </w:p>
    <w:p>
      <w:pPr>
        <w:numPr>
          <w:ilvl w:val="0"/>
          <w:numId w:val="4"/>
        </w:numPr>
        <w:tabs>
          <w:tab w:val="left" w:pos="1980"/>
          <w:tab w:val="left" w:pos="2520"/>
        </w:tabs>
        <w:snapToGrid w:val="0"/>
        <w:spacing w:line="360" w:lineRule="auto"/>
        <w:ind w:left="1440" w:firstLine="5"/>
        <w:rPr>
          <w:sz w:val="24"/>
        </w:rPr>
      </w:pPr>
      <w:r>
        <w:rPr>
          <w:sz w:val="24"/>
        </w:rPr>
        <w:t>采购需求</w:t>
      </w:r>
    </w:p>
    <w:p>
      <w:pPr>
        <w:numPr>
          <w:ilvl w:val="0"/>
          <w:numId w:val="4"/>
        </w:numPr>
        <w:tabs>
          <w:tab w:val="left" w:pos="1980"/>
          <w:tab w:val="left" w:pos="2520"/>
        </w:tabs>
        <w:snapToGrid w:val="0"/>
        <w:spacing w:line="360" w:lineRule="auto"/>
        <w:ind w:left="1440" w:firstLine="5"/>
        <w:rPr>
          <w:sz w:val="24"/>
        </w:rPr>
      </w:pPr>
      <w:r>
        <w:rPr>
          <w:sz w:val="24"/>
        </w:rPr>
        <w:t>合同草案条款</w:t>
      </w:r>
    </w:p>
    <w:p>
      <w:pPr>
        <w:numPr>
          <w:ilvl w:val="0"/>
          <w:numId w:val="4"/>
        </w:numPr>
        <w:tabs>
          <w:tab w:val="left" w:pos="1980"/>
          <w:tab w:val="left" w:pos="2520"/>
        </w:tabs>
        <w:snapToGrid w:val="0"/>
        <w:spacing w:line="360" w:lineRule="auto"/>
        <w:ind w:left="1440" w:firstLine="5"/>
        <w:rPr>
          <w:sz w:val="24"/>
        </w:rPr>
      </w:pPr>
      <w:r>
        <w:rPr>
          <w:sz w:val="24"/>
        </w:rPr>
        <w:t>响应文件格式</w:t>
      </w:r>
    </w:p>
    <w:p>
      <w:pPr>
        <w:numPr>
          <w:ilvl w:val="1"/>
          <w:numId w:val="3"/>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pPr>
        <w:numPr>
          <w:ilvl w:val="0"/>
          <w:numId w:val="3"/>
        </w:numPr>
        <w:tabs>
          <w:tab w:val="left" w:pos="1080"/>
          <w:tab w:val="left" w:pos="2014"/>
        </w:tabs>
        <w:snapToGrid w:val="0"/>
        <w:spacing w:line="360" w:lineRule="auto"/>
        <w:ind w:left="357" w:hanging="357"/>
        <w:outlineLvl w:val="1"/>
        <w:rPr>
          <w:sz w:val="24"/>
        </w:rPr>
      </w:pPr>
      <w:r>
        <w:rPr>
          <w:sz w:val="24"/>
        </w:rPr>
        <w:t>对竞争性磋商文件的澄清或修改</w:t>
      </w:r>
    </w:p>
    <w:p>
      <w:pPr>
        <w:numPr>
          <w:ilvl w:val="1"/>
          <w:numId w:val="3"/>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pPr>
        <w:numPr>
          <w:ilvl w:val="1"/>
          <w:numId w:val="3"/>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pPr>
        <w:numPr>
          <w:ilvl w:val="1"/>
          <w:numId w:val="3"/>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pPr>
        <w:tabs>
          <w:tab w:val="left" w:pos="1080"/>
          <w:tab w:val="left" w:pos="1561"/>
        </w:tabs>
        <w:snapToGrid w:val="0"/>
        <w:spacing w:line="360" w:lineRule="auto"/>
        <w:ind w:left="1080"/>
        <w:rPr>
          <w:sz w:val="28"/>
        </w:rPr>
      </w:pPr>
      <w:bookmarkStart w:id="184" w:name="_Toc516367020"/>
      <w:bookmarkStart w:id="185" w:name="_Toc226337222"/>
      <w:bookmarkStart w:id="186" w:name="_Toc520356150"/>
      <w:bookmarkStart w:id="187" w:name="_Toc150509277"/>
      <w:bookmarkStart w:id="188" w:name="_Toc151193696"/>
      <w:bookmarkStart w:id="189" w:name="_Toc305158868"/>
      <w:bookmarkStart w:id="190" w:name="_Toc127151526"/>
      <w:bookmarkStart w:id="191" w:name="_Toc151193840"/>
      <w:bookmarkStart w:id="192" w:name="_Toc142311028"/>
      <w:bookmarkStart w:id="193" w:name="_Toc151190153"/>
      <w:bookmarkStart w:id="194" w:name="_Toc195842891"/>
      <w:bookmarkStart w:id="195" w:name="_Toc264969216"/>
      <w:bookmarkStart w:id="196" w:name="_Toc226965799"/>
      <w:bookmarkStart w:id="197" w:name="_Toc150774626"/>
      <w:bookmarkStart w:id="198" w:name="_Toc226309770"/>
      <w:bookmarkStart w:id="199" w:name="_Toc151193624"/>
      <w:bookmarkStart w:id="200" w:name="_Toc151193914"/>
      <w:bookmarkStart w:id="201" w:name="_Toc151193768"/>
      <w:bookmarkStart w:id="202" w:name="_Toc150480764"/>
      <w:bookmarkStart w:id="203" w:name="_Toc265228364"/>
      <w:bookmarkStart w:id="204" w:name="_Toc305158794"/>
      <w:bookmarkStart w:id="205" w:name="_Toc150774731"/>
      <w:bookmarkStart w:id="206" w:name="_Toc226965716"/>
    </w:p>
    <w:p>
      <w:pPr>
        <w:pStyle w:val="4"/>
        <w:spacing w:before="0" w:line="360" w:lineRule="auto"/>
        <w:rPr>
          <w:rFonts w:ascii="Times New Roman" w:hAnsi="Times New Roman" w:eastAsia="宋体"/>
          <w:sz w:val="28"/>
        </w:rPr>
      </w:pPr>
      <w:r>
        <w:rPr>
          <w:rFonts w:ascii="Times New Roman" w:hAnsi="Times New Roman" w:eastAsia="宋体"/>
          <w:sz w:val="28"/>
        </w:rPr>
        <w:t>三   响应文件</w:t>
      </w:r>
      <w:bookmarkEnd w:id="184"/>
      <w:r>
        <w:rPr>
          <w:rFonts w:ascii="Times New Roman" w:hAnsi="Times New Roman" w:eastAsia="宋体"/>
          <w:sz w:val="28"/>
        </w:rPr>
        <w:t>的编制</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numPr>
          <w:ilvl w:val="0"/>
          <w:numId w:val="3"/>
        </w:numPr>
        <w:tabs>
          <w:tab w:val="left" w:pos="360"/>
        </w:tabs>
        <w:snapToGrid w:val="0"/>
        <w:spacing w:line="360" w:lineRule="auto"/>
        <w:ind w:left="357" w:hanging="357"/>
        <w:outlineLvl w:val="1"/>
        <w:rPr>
          <w:sz w:val="24"/>
        </w:rPr>
      </w:pPr>
      <w:bookmarkStart w:id="207" w:name="_Toc226309771"/>
      <w:bookmarkStart w:id="208" w:name="_Toc127161441"/>
      <w:bookmarkStart w:id="209" w:name="_Toc164229222"/>
      <w:bookmarkStart w:id="210" w:name="_Toc226965717"/>
      <w:bookmarkStart w:id="211" w:name="_Toc195842892"/>
      <w:bookmarkStart w:id="212" w:name="_Toc264969217"/>
      <w:bookmarkStart w:id="213" w:name="_Toc305158869"/>
      <w:bookmarkStart w:id="214" w:name="_Toc150480765"/>
      <w:bookmarkStart w:id="215" w:name="_Toc151193841"/>
      <w:bookmarkStart w:id="216" w:name="_Toc164351621"/>
      <w:bookmarkStart w:id="217" w:name="_Toc150774732"/>
      <w:bookmarkStart w:id="218" w:name="_Toc151190154"/>
      <w:bookmarkStart w:id="219" w:name="_Toc151193625"/>
      <w:bookmarkStart w:id="220" w:name="_Toc127151527"/>
      <w:bookmarkStart w:id="221" w:name="_Toc151193769"/>
      <w:bookmarkStart w:id="222" w:name="_Toc520356151"/>
      <w:bookmarkStart w:id="223" w:name="_Toc226965800"/>
      <w:bookmarkStart w:id="224" w:name="_Toc164608641"/>
      <w:bookmarkStart w:id="225" w:name="_Toc516367021"/>
      <w:bookmarkStart w:id="226" w:name="_Toc164229368"/>
      <w:bookmarkStart w:id="227" w:name="_Toc164608796"/>
      <w:bookmarkStart w:id="228" w:name="_Toc149720820"/>
      <w:bookmarkStart w:id="229" w:name="_Toc305158795"/>
      <w:bookmarkStart w:id="230" w:name="_Toc150509278"/>
      <w:bookmarkStart w:id="231" w:name="_Toc127151728"/>
      <w:bookmarkStart w:id="232" w:name="_Toc150774627"/>
      <w:bookmarkStart w:id="233" w:name="_Toc151193915"/>
      <w:bookmarkStart w:id="234" w:name="_Toc265228365"/>
      <w:bookmarkStart w:id="235" w:name="_Toc151193697"/>
      <w:bookmarkStart w:id="236" w:name="_Toc226337223"/>
      <w:bookmarkStart w:id="237" w:name="_Toc142311029"/>
      <w:r>
        <w:rPr>
          <w:sz w:val="24"/>
        </w:rPr>
        <w:t>响应范围、竞争性磋商文件中计量单位的使用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sz w:val="24"/>
        </w:rPr>
        <w:t>及磋商语言</w:t>
      </w:r>
    </w:p>
    <w:p>
      <w:pPr>
        <w:numPr>
          <w:ilvl w:val="1"/>
          <w:numId w:val="3"/>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pPr>
        <w:numPr>
          <w:ilvl w:val="1"/>
          <w:numId w:val="3"/>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pPr>
        <w:numPr>
          <w:ilvl w:val="1"/>
          <w:numId w:val="3"/>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3"/>
        </w:numPr>
        <w:tabs>
          <w:tab w:val="left" w:pos="360"/>
        </w:tabs>
        <w:snapToGrid w:val="0"/>
        <w:spacing w:line="360" w:lineRule="auto"/>
        <w:ind w:left="357" w:hanging="357"/>
        <w:outlineLvl w:val="1"/>
        <w:rPr>
          <w:sz w:val="24"/>
        </w:rPr>
      </w:pPr>
      <w:bookmarkStart w:id="238" w:name="_Toc516367022"/>
      <w:bookmarkStart w:id="239" w:name="_Ref467306676"/>
      <w:bookmarkStart w:id="240" w:name="_Ref467306195"/>
      <w:bookmarkStart w:id="241" w:name="_Toc127161442"/>
      <w:bookmarkStart w:id="242" w:name="_Toc150480766"/>
      <w:bookmarkStart w:id="243" w:name="_Toc265228366"/>
      <w:bookmarkStart w:id="244" w:name="_Toc164351622"/>
      <w:bookmarkStart w:id="245" w:name="_Toc264969218"/>
      <w:bookmarkStart w:id="246" w:name="_Toc151193698"/>
      <w:bookmarkStart w:id="247" w:name="_Toc164229369"/>
      <w:bookmarkStart w:id="248" w:name="_Toc151193626"/>
      <w:bookmarkStart w:id="249" w:name="_Toc127151528"/>
      <w:bookmarkStart w:id="250" w:name="_Toc150774733"/>
      <w:bookmarkStart w:id="251" w:name="_Toc195842893"/>
      <w:bookmarkStart w:id="252" w:name="_Toc226965801"/>
      <w:bookmarkStart w:id="253" w:name="_Toc164608797"/>
      <w:bookmarkStart w:id="254" w:name="_Toc151193770"/>
      <w:bookmarkStart w:id="255" w:name="_Toc150509279"/>
      <w:bookmarkStart w:id="256" w:name="_Toc226337224"/>
      <w:bookmarkStart w:id="257" w:name="_Toc151193916"/>
      <w:bookmarkStart w:id="258" w:name="_Toc142311030"/>
      <w:bookmarkStart w:id="259" w:name="_Toc151190155"/>
      <w:bookmarkStart w:id="260" w:name="_Toc150774628"/>
      <w:bookmarkStart w:id="261" w:name="_Toc305158796"/>
      <w:bookmarkStart w:id="262" w:name="_Toc149720821"/>
      <w:bookmarkStart w:id="263" w:name="_Toc151193842"/>
      <w:bookmarkStart w:id="264" w:name="_Toc305158870"/>
      <w:bookmarkStart w:id="265" w:name="_Toc520356152"/>
      <w:bookmarkStart w:id="266" w:name="_Toc164608642"/>
      <w:bookmarkStart w:id="267" w:name="_Toc127151729"/>
      <w:bookmarkStart w:id="268" w:name="_Toc226965718"/>
      <w:bookmarkStart w:id="269" w:name="_Toc164229223"/>
      <w:bookmarkStart w:id="270" w:name="_Toc226309772"/>
      <w:r>
        <w:rPr>
          <w:sz w:val="24"/>
        </w:rPr>
        <w:t>响应文件</w:t>
      </w:r>
      <w:bookmarkEnd w:id="238"/>
      <w:bookmarkEnd w:id="239"/>
      <w:bookmarkEnd w:id="240"/>
      <w:r>
        <w:rPr>
          <w:sz w:val="24"/>
        </w:rPr>
        <w:t>构成</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numPr>
          <w:ilvl w:val="1"/>
          <w:numId w:val="3"/>
        </w:numPr>
        <w:tabs>
          <w:tab w:val="left" w:pos="1080"/>
          <w:tab w:val="left" w:pos="2014"/>
        </w:tabs>
        <w:snapToGrid w:val="0"/>
        <w:spacing w:line="360" w:lineRule="auto"/>
        <w:ind w:left="1077" w:hanging="720"/>
        <w:rPr>
          <w:sz w:val="24"/>
        </w:rPr>
      </w:pPr>
      <w:bookmarkStart w:id="271"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pPr>
        <w:numPr>
          <w:ilvl w:val="1"/>
          <w:numId w:val="3"/>
        </w:numPr>
        <w:tabs>
          <w:tab w:val="left" w:pos="1080"/>
          <w:tab w:val="left" w:pos="2014"/>
        </w:tabs>
        <w:snapToGrid w:val="0"/>
        <w:spacing w:line="360" w:lineRule="auto"/>
        <w:ind w:left="1077"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numPr>
          <w:ilvl w:val="1"/>
          <w:numId w:val="3"/>
        </w:numPr>
        <w:tabs>
          <w:tab w:val="left" w:pos="1080"/>
          <w:tab w:val="left" w:pos="2014"/>
        </w:tabs>
        <w:snapToGrid w:val="0"/>
        <w:spacing w:line="360" w:lineRule="auto"/>
        <w:ind w:left="1077" w:hanging="720"/>
        <w:rPr>
          <w:sz w:val="24"/>
        </w:rPr>
      </w:pPr>
      <w:r>
        <w:rPr>
          <w:sz w:val="24"/>
        </w:rPr>
        <w:t>第三章《评审方法和评审标准》中涉及的证明文件。</w:t>
      </w:r>
    </w:p>
    <w:p>
      <w:pPr>
        <w:numPr>
          <w:ilvl w:val="1"/>
          <w:numId w:val="3"/>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3"/>
        </w:numPr>
        <w:tabs>
          <w:tab w:val="left" w:pos="1080"/>
          <w:tab w:val="left" w:pos="2014"/>
        </w:tabs>
        <w:snapToGrid w:val="0"/>
        <w:spacing w:line="360" w:lineRule="auto"/>
        <w:ind w:left="1077" w:hanging="720"/>
        <w:rPr>
          <w:sz w:val="24"/>
        </w:rPr>
      </w:pPr>
      <w:r>
        <w:rPr>
          <w:sz w:val="24"/>
        </w:rPr>
        <w:t>供应商认为应附的其他材料。</w:t>
      </w:r>
      <w:bookmarkEnd w:id="271"/>
    </w:p>
    <w:p>
      <w:pPr>
        <w:numPr>
          <w:ilvl w:val="0"/>
          <w:numId w:val="3"/>
        </w:numPr>
        <w:tabs>
          <w:tab w:val="left" w:pos="360"/>
        </w:tabs>
        <w:snapToGrid w:val="0"/>
        <w:spacing w:line="360" w:lineRule="auto"/>
        <w:ind w:left="357" w:hanging="357"/>
        <w:outlineLvl w:val="1"/>
        <w:rPr>
          <w:sz w:val="24"/>
        </w:rPr>
      </w:pPr>
      <w:bookmarkStart w:id="272" w:name="_Toc151193844"/>
      <w:bookmarkStart w:id="273" w:name="_Toc150774735"/>
      <w:bookmarkStart w:id="274" w:name="_Toc150480768"/>
      <w:bookmarkStart w:id="275" w:name="_Toc164608644"/>
      <w:bookmarkStart w:id="276" w:name="_Toc127151530"/>
      <w:bookmarkStart w:id="277" w:name="_Toc195842895"/>
      <w:bookmarkStart w:id="278" w:name="_Toc520356155"/>
      <w:bookmarkStart w:id="279" w:name="_Toc127151731"/>
      <w:bookmarkStart w:id="280" w:name="_Toc164229371"/>
      <w:bookmarkStart w:id="281" w:name="_Toc151190157"/>
      <w:bookmarkStart w:id="282" w:name="_Toc150774630"/>
      <w:bookmarkStart w:id="283" w:name="_Toc149720823"/>
      <w:bookmarkStart w:id="284" w:name="_Toc151193628"/>
      <w:bookmarkStart w:id="285" w:name="_Toc164608799"/>
      <w:bookmarkStart w:id="286" w:name="_Toc151193918"/>
      <w:bookmarkStart w:id="287" w:name="_Toc151193772"/>
      <w:bookmarkStart w:id="288" w:name="_Toc142311032"/>
      <w:bookmarkStart w:id="289" w:name="_Toc127161444"/>
      <w:bookmarkStart w:id="290" w:name="_Toc164351624"/>
      <w:bookmarkStart w:id="291" w:name="_Toc164229225"/>
      <w:bookmarkStart w:id="292" w:name="_Toc150509281"/>
      <w:bookmarkStart w:id="293" w:name="_Toc151193700"/>
      <w:r>
        <w:rPr>
          <w:sz w:val="24"/>
        </w:rPr>
        <w:t>报价</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numPr>
          <w:ilvl w:val="1"/>
          <w:numId w:val="3"/>
        </w:numPr>
        <w:tabs>
          <w:tab w:val="left" w:pos="1080"/>
          <w:tab w:val="left" w:pos="2014"/>
        </w:tabs>
        <w:snapToGrid w:val="0"/>
        <w:spacing w:line="360" w:lineRule="auto"/>
        <w:ind w:left="1077" w:hanging="720"/>
        <w:rPr>
          <w:sz w:val="24"/>
        </w:rPr>
      </w:pPr>
      <w:r>
        <w:rPr>
          <w:sz w:val="24"/>
        </w:rPr>
        <w:t>所有响应均以人民币报价。</w:t>
      </w:r>
    </w:p>
    <w:p>
      <w:pPr>
        <w:numPr>
          <w:ilvl w:val="1"/>
          <w:numId w:val="3"/>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pPr>
        <w:numPr>
          <w:ilvl w:val="2"/>
          <w:numId w:val="3"/>
        </w:numPr>
        <w:snapToGrid w:val="0"/>
        <w:spacing w:line="360" w:lineRule="auto"/>
        <w:rPr>
          <w:sz w:val="24"/>
        </w:rPr>
      </w:pPr>
      <w:r>
        <w:rPr>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pPr>
        <w:numPr>
          <w:ilvl w:val="2"/>
          <w:numId w:val="3"/>
        </w:numPr>
        <w:snapToGrid w:val="0"/>
        <w:spacing w:line="360" w:lineRule="auto"/>
        <w:rPr>
          <w:sz w:val="24"/>
        </w:rPr>
      </w:pPr>
      <w:r>
        <w:rPr>
          <w:sz w:val="24"/>
        </w:rPr>
        <w:t>按照竞争性磋商文件要求完成本项</w:t>
      </w:r>
      <w:r>
        <w:rPr>
          <w:rFonts w:hint="eastAsia"/>
          <w:sz w:val="24"/>
        </w:rPr>
        <w:t>目的全部相关工程或服务费用。</w:t>
      </w:r>
    </w:p>
    <w:p>
      <w:pPr>
        <w:numPr>
          <w:ilvl w:val="1"/>
          <w:numId w:val="3"/>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3"/>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pPr>
        <w:numPr>
          <w:ilvl w:val="0"/>
          <w:numId w:val="3"/>
        </w:numPr>
        <w:tabs>
          <w:tab w:val="left" w:pos="360"/>
        </w:tabs>
        <w:snapToGrid w:val="0"/>
        <w:spacing w:line="360" w:lineRule="auto"/>
        <w:ind w:left="357" w:hanging="357"/>
        <w:outlineLvl w:val="1"/>
        <w:rPr>
          <w:sz w:val="24"/>
        </w:rPr>
      </w:pPr>
      <w:r>
        <w:rPr>
          <w:sz w:val="24"/>
        </w:rPr>
        <w:t>磋商保证金</w:t>
      </w:r>
    </w:p>
    <w:p>
      <w:pPr>
        <w:numPr>
          <w:ilvl w:val="1"/>
          <w:numId w:val="3"/>
        </w:numPr>
        <w:tabs>
          <w:tab w:val="left" w:pos="1080"/>
          <w:tab w:val="left" w:pos="2014"/>
        </w:tabs>
        <w:snapToGrid w:val="0"/>
        <w:spacing w:line="360" w:lineRule="auto"/>
        <w:ind w:left="1077" w:hanging="720"/>
        <w:rPr>
          <w:sz w:val="24"/>
        </w:rPr>
      </w:pPr>
      <w:bookmarkStart w:id="294" w:name="_Ref467306302"/>
      <w:r>
        <w:rPr>
          <w:sz w:val="24"/>
        </w:rPr>
        <w:t>供应商应按《供应商须知资料表》中规定的金额及要求交纳磋商保证金</w:t>
      </w:r>
      <w:bookmarkEnd w:id="294"/>
      <w:r>
        <w:rPr>
          <w:sz w:val="24"/>
        </w:rPr>
        <w:t>，并作为其响应文件的一部分。</w:t>
      </w:r>
    </w:p>
    <w:p>
      <w:pPr>
        <w:numPr>
          <w:ilvl w:val="1"/>
          <w:numId w:val="3"/>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pPr>
        <w:numPr>
          <w:ilvl w:val="1"/>
          <w:numId w:val="3"/>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w:t>
      </w:r>
      <w:r>
        <w:rPr>
          <w:rFonts w:hint="eastAsia"/>
          <w:sz w:val="24"/>
        </w:rPr>
        <w:t>或电子保函</w:t>
      </w:r>
      <w:r>
        <w:rPr>
          <w:sz w:val="24"/>
        </w:rPr>
        <w:t>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pPr>
        <w:numPr>
          <w:ilvl w:val="1"/>
          <w:numId w:val="3"/>
        </w:numPr>
        <w:tabs>
          <w:tab w:val="left" w:pos="1080"/>
          <w:tab w:val="left" w:pos="2014"/>
        </w:tabs>
        <w:snapToGrid w:val="0"/>
        <w:spacing w:line="360" w:lineRule="auto"/>
        <w:ind w:left="1077" w:hanging="720"/>
        <w:rPr>
          <w:sz w:val="24"/>
        </w:rPr>
      </w:pPr>
      <w:r>
        <w:rPr>
          <w:sz w:val="24"/>
        </w:rPr>
        <w:t>磋商保证金（保函）有效期同响应有效期。</w:t>
      </w:r>
    </w:p>
    <w:p>
      <w:pPr>
        <w:numPr>
          <w:ilvl w:val="1"/>
          <w:numId w:val="3"/>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pPr>
        <w:numPr>
          <w:ilvl w:val="1"/>
          <w:numId w:val="3"/>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3"/>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pPr>
        <w:numPr>
          <w:ilvl w:val="2"/>
          <w:numId w:val="3"/>
        </w:numPr>
        <w:snapToGrid w:val="0"/>
        <w:spacing w:line="360" w:lineRule="auto"/>
        <w:rPr>
          <w:sz w:val="24"/>
        </w:rPr>
      </w:pPr>
      <w:r>
        <w:rPr>
          <w:sz w:val="24"/>
        </w:rPr>
        <w:t>成交供应商的磋商保证金，在采购合同签订后5个工作日内退还成交供应商；</w:t>
      </w:r>
    </w:p>
    <w:p>
      <w:pPr>
        <w:numPr>
          <w:ilvl w:val="2"/>
          <w:numId w:val="3"/>
        </w:numPr>
        <w:snapToGrid w:val="0"/>
        <w:spacing w:line="360" w:lineRule="auto"/>
        <w:rPr>
          <w:sz w:val="24"/>
        </w:rPr>
      </w:pPr>
      <w:r>
        <w:rPr>
          <w:sz w:val="24"/>
        </w:rPr>
        <w:t>未成交供应商的磋商保证金，在成交通知书发出后5个工作日内退还</w:t>
      </w:r>
      <w:r>
        <w:rPr>
          <w:rFonts w:hint="eastAsia"/>
          <w:sz w:val="24"/>
        </w:rPr>
        <w:t>。</w:t>
      </w:r>
    </w:p>
    <w:p>
      <w:pPr>
        <w:numPr>
          <w:ilvl w:val="1"/>
          <w:numId w:val="3"/>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pPr>
        <w:numPr>
          <w:ilvl w:val="2"/>
          <w:numId w:val="3"/>
        </w:numPr>
        <w:snapToGrid w:val="0"/>
        <w:spacing w:line="360" w:lineRule="auto"/>
        <w:rPr>
          <w:sz w:val="24"/>
        </w:rPr>
      </w:pPr>
      <w:r>
        <w:rPr>
          <w:sz w:val="24"/>
        </w:rPr>
        <w:t>供应商在提交响应文件截止时间后撤回响应文件的；</w:t>
      </w:r>
    </w:p>
    <w:p>
      <w:pPr>
        <w:numPr>
          <w:ilvl w:val="2"/>
          <w:numId w:val="3"/>
        </w:numPr>
        <w:snapToGrid w:val="0"/>
        <w:spacing w:line="360" w:lineRule="auto"/>
        <w:rPr>
          <w:sz w:val="24"/>
        </w:rPr>
      </w:pPr>
      <w:r>
        <w:rPr>
          <w:sz w:val="24"/>
        </w:rPr>
        <w:t>供应商在响应文件中提供虚假材料的；</w:t>
      </w:r>
    </w:p>
    <w:p>
      <w:pPr>
        <w:numPr>
          <w:ilvl w:val="2"/>
          <w:numId w:val="3"/>
        </w:numPr>
        <w:snapToGrid w:val="0"/>
        <w:spacing w:line="360" w:lineRule="auto"/>
        <w:rPr>
          <w:sz w:val="24"/>
        </w:rPr>
      </w:pPr>
      <w:r>
        <w:rPr>
          <w:sz w:val="24"/>
        </w:rPr>
        <w:t>除因不可抗力或磋商文件认可的情形以外，成交供应商不与采购人签订合同的；</w:t>
      </w:r>
    </w:p>
    <w:p>
      <w:pPr>
        <w:numPr>
          <w:ilvl w:val="2"/>
          <w:numId w:val="3"/>
        </w:numPr>
        <w:snapToGrid w:val="0"/>
        <w:spacing w:line="360" w:lineRule="auto"/>
        <w:rPr>
          <w:sz w:val="24"/>
        </w:rPr>
      </w:pPr>
      <w:r>
        <w:rPr>
          <w:sz w:val="24"/>
        </w:rPr>
        <w:t>供应商与采购人、其他供应商或者采购代理机构恶意串通的；</w:t>
      </w:r>
    </w:p>
    <w:p>
      <w:pPr>
        <w:numPr>
          <w:ilvl w:val="2"/>
          <w:numId w:val="3"/>
        </w:numPr>
        <w:snapToGrid w:val="0"/>
        <w:spacing w:line="360" w:lineRule="auto"/>
        <w:rPr>
          <w:sz w:val="24"/>
        </w:rPr>
      </w:pPr>
      <w:r>
        <w:rPr>
          <w:sz w:val="24"/>
        </w:rPr>
        <w:t>《供应商须知资料表》规定的其他情形。</w:t>
      </w:r>
    </w:p>
    <w:p>
      <w:pPr>
        <w:numPr>
          <w:ilvl w:val="0"/>
          <w:numId w:val="3"/>
        </w:numPr>
        <w:tabs>
          <w:tab w:val="left" w:pos="360"/>
        </w:tabs>
        <w:snapToGrid w:val="0"/>
        <w:spacing w:line="360" w:lineRule="auto"/>
        <w:ind w:left="357" w:hanging="357"/>
        <w:outlineLvl w:val="1"/>
        <w:rPr>
          <w:sz w:val="24"/>
        </w:rPr>
      </w:pPr>
      <w:r>
        <w:rPr>
          <w:sz w:val="24"/>
        </w:rPr>
        <w:t>响应有效期</w:t>
      </w:r>
    </w:p>
    <w:p>
      <w:pPr>
        <w:numPr>
          <w:ilvl w:val="1"/>
          <w:numId w:val="3"/>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pPr>
        <w:numPr>
          <w:ilvl w:val="0"/>
          <w:numId w:val="3"/>
        </w:numPr>
        <w:tabs>
          <w:tab w:val="left" w:pos="360"/>
        </w:tabs>
        <w:snapToGrid w:val="0"/>
        <w:spacing w:line="360" w:lineRule="auto"/>
        <w:ind w:left="357" w:hanging="357"/>
        <w:outlineLvl w:val="1"/>
        <w:rPr>
          <w:sz w:val="24"/>
        </w:rPr>
      </w:pPr>
      <w:bookmarkStart w:id="295" w:name="_Toc226337229"/>
      <w:bookmarkStart w:id="296" w:name="_Toc151193703"/>
      <w:bookmarkStart w:id="297" w:name="_Toc127151734"/>
      <w:bookmarkStart w:id="298" w:name="_Toc226965806"/>
      <w:bookmarkStart w:id="299" w:name="_Toc164608802"/>
      <w:bookmarkStart w:id="300" w:name="_Toc264969223"/>
      <w:bookmarkStart w:id="301" w:name="_Toc164351627"/>
      <w:bookmarkStart w:id="302" w:name="_Toc151193847"/>
      <w:bookmarkStart w:id="303" w:name="_Toc305158801"/>
      <w:bookmarkStart w:id="304" w:name="_Toc150774738"/>
      <w:bookmarkStart w:id="305" w:name="_Toc195842898"/>
      <w:bookmarkStart w:id="306" w:name="_Toc150509284"/>
      <w:bookmarkStart w:id="307" w:name="_Toc151193631"/>
      <w:bookmarkStart w:id="308" w:name="_Toc226965723"/>
      <w:bookmarkStart w:id="309" w:name="_Toc164608647"/>
      <w:bookmarkStart w:id="310" w:name="_Toc265228371"/>
      <w:bookmarkStart w:id="311" w:name="_Toc164229374"/>
      <w:bookmarkStart w:id="312" w:name="_Toc127151533"/>
      <w:bookmarkStart w:id="313" w:name="_Toc164229228"/>
      <w:bookmarkStart w:id="314" w:name="_Toc149720826"/>
      <w:bookmarkStart w:id="315" w:name="_Toc127161447"/>
      <w:bookmarkStart w:id="316" w:name="_Toc150480771"/>
      <w:bookmarkStart w:id="317" w:name="_Toc151190160"/>
      <w:bookmarkStart w:id="318" w:name="_Toc305158875"/>
      <w:bookmarkStart w:id="319" w:name="_Toc520356158"/>
      <w:bookmarkStart w:id="320" w:name="_Toc142311035"/>
      <w:bookmarkStart w:id="321" w:name="_Toc150774633"/>
      <w:bookmarkStart w:id="322" w:name="_Toc151193921"/>
      <w:bookmarkStart w:id="323" w:name="_Toc226309777"/>
      <w:bookmarkStart w:id="324" w:name="_Toc151193775"/>
      <w:r>
        <w:rPr>
          <w:sz w:val="24"/>
        </w:rPr>
        <w:t>响应文件的签署</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sz w:val="24"/>
        </w:rPr>
        <w:t>、盖章</w:t>
      </w:r>
    </w:p>
    <w:p>
      <w:pPr>
        <w:numPr>
          <w:ilvl w:val="1"/>
          <w:numId w:val="3"/>
        </w:numPr>
        <w:tabs>
          <w:tab w:val="left" w:pos="1080"/>
          <w:tab w:val="left" w:pos="2014"/>
        </w:tabs>
        <w:snapToGrid w:val="0"/>
        <w:spacing w:line="360" w:lineRule="auto"/>
        <w:ind w:left="1077" w:hanging="720"/>
        <w:rPr>
          <w:sz w:val="24"/>
        </w:rPr>
      </w:pPr>
      <w:bookmarkStart w:id="325" w:name="_Toc226337230"/>
      <w:bookmarkStart w:id="326" w:name="_Toc264969224"/>
      <w:bookmarkStart w:id="327" w:name="_Toc265228372"/>
      <w:bookmarkStart w:id="328" w:name="_Toc305158876"/>
      <w:bookmarkStart w:id="329" w:name="_Toc142311036"/>
      <w:bookmarkStart w:id="330" w:name="_Toc226309778"/>
      <w:bookmarkStart w:id="331" w:name="_Toc226965807"/>
      <w:bookmarkStart w:id="332" w:name="_Toc305158802"/>
      <w:bookmarkStart w:id="333" w:name="_Toc151193632"/>
      <w:bookmarkStart w:id="334" w:name="_Toc150774739"/>
      <w:bookmarkStart w:id="335" w:name="_Toc150480772"/>
      <w:bookmarkStart w:id="336" w:name="_Toc150509285"/>
      <w:bookmarkStart w:id="337" w:name="_Toc151193776"/>
      <w:bookmarkStart w:id="338" w:name="_Toc151193704"/>
      <w:bookmarkStart w:id="339" w:name="_Toc195842899"/>
      <w:bookmarkStart w:id="340" w:name="_Toc151193922"/>
      <w:bookmarkStart w:id="341" w:name="_Toc151193848"/>
      <w:bookmarkStart w:id="342" w:name="_Toc226965724"/>
      <w:bookmarkStart w:id="343" w:name="_Toc127151534"/>
      <w:bookmarkStart w:id="344" w:name="_Toc151190161"/>
      <w:bookmarkStart w:id="345" w:name="_Toc150774634"/>
      <w:bookmarkStart w:id="346" w:name="_Toc520356159"/>
      <w:r>
        <w:rPr>
          <w:rFonts w:hint="eastAsia"/>
          <w:sz w:val="24"/>
        </w:rPr>
        <w:t>供应商应准备首次磋商响应文件正本一份和副本三份，每份首次磋商响应文件须清楚地标明“正本”或“副本”。若正本和副本不符，以正本为准。另外供应商还需提供电子U盘磋商响应文件（包含响应文件word版本和响应文件正本盖章后的PDF扫描件）1份，电子版磋商响应文件与纸质磋商响应文件内容不符的，以纸质磋商响应文件为准。</w:t>
      </w:r>
    </w:p>
    <w:p>
      <w:pPr>
        <w:numPr>
          <w:ilvl w:val="1"/>
          <w:numId w:val="3"/>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pPr>
        <w:numPr>
          <w:ilvl w:val="1"/>
          <w:numId w:val="3"/>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pPr>
        <w:numPr>
          <w:ilvl w:val="1"/>
          <w:numId w:val="3"/>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pPr>
        <w:pStyle w:val="4"/>
        <w:spacing w:before="0" w:line="360" w:lineRule="auto"/>
        <w:rPr>
          <w:rFonts w:ascii="Times New Roman" w:hAnsi="Times New Roman" w:eastAsia="宋体"/>
          <w:sz w:val="28"/>
        </w:rPr>
      </w:pPr>
      <w:r>
        <w:rPr>
          <w:rFonts w:ascii="Times New Roman" w:hAnsi="Times New Roman" w:eastAsia="宋体"/>
          <w:sz w:val="28"/>
        </w:rPr>
        <w:t>四   响应文件的提交</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numPr>
          <w:ilvl w:val="0"/>
          <w:numId w:val="3"/>
        </w:numPr>
        <w:tabs>
          <w:tab w:val="left" w:pos="360"/>
        </w:tabs>
        <w:snapToGrid w:val="0"/>
        <w:spacing w:line="360" w:lineRule="auto"/>
        <w:outlineLvl w:val="1"/>
        <w:rPr>
          <w:sz w:val="24"/>
        </w:rPr>
      </w:pPr>
      <w:r>
        <w:rPr>
          <w:rFonts w:hint="eastAsia"/>
          <w:sz w:val="24"/>
        </w:rPr>
        <w:t>首次磋商响应文件的密封和标记</w:t>
      </w:r>
    </w:p>
    <w:p>
      <w:pPr>
        <w:numPr>
          <w:ilvl w:val="1"/>
          <w:numId w:val="3"/>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磋商时，供应商应将磋商响应文件正本密封装在单独的信封中、所有副本一起密封装在单独的信封中，且在信封正面标明“正本”“副本”字样。电子版磋商响应文件单独密封包装，标明“电子版”字样。</w:t>
      </w:r>
    </w:p>
    <w:p>
      <w:pPr>
        <w:numPr>
          <w:ilvl w:val="1"/>
          <w:numId w:val="3"/>
        </w:numPr>
        <w:tabs>
          <w:tab w:val="left" w:pos="1080"/>
          <w:tab w:val="left" w:pos="2014"/>
        </w:tabs>
        <w:snapToGrid w:val="0"/>
        <w:spacing w:line="360" w:lineRule="auto"/>
        <w:ind w:left="1077" w:hanging="720"/>
        <w:rPr>
          <w:sz w:val="36"/>
          <w:szCs w:val="36"/>
        </w:rPr>
      </w:pPr>
      <w:r>
        <w:rPr>
          <w:rFonts w:hint="eastAsia"/>
          <w:sz w:val="24"/>
        </w:rPr>
        <w:t>所有信封上均应：</w:t>
      </w:r>
    </w:p>
    <w:p>
      <w:pPr>
        <w:tabs>
          <w:tab w:val="left" w:pos="360"/>
        </w:tabs>
        <w:snapToGrid w:val="0"/>
        <w:spacing w:line="360" w:lineRule="auto"/>
        <w:ind w:left="357"/>
        <w:outlineLvl w:val="1"/>
        <w:rPr>
          <w:sz w:val="24"/>
        </w:rPr>
      </w:pPr>
      <w:r>
        <w:rPr>
          <w:rFonts w:hint="eastAsia"/>
          <w:sz w:val="24"/>
        </w:rPr>
        <w:t>1）清楚标明递交至磋商公告或磋商邀请书中指明的地址。</w:t>
      </w:r>
    </w:p>
    <w:p>
      <w:pPr>
        <w:tabs>
          <w:tab w:val="left" w:pos="360"/>
        </w:tabs>
        <w:snapToGrid w:val="0"/>
        <w:spacing w:line="360" w:lineRule="auto"/>
        <w:ind w:left="357"/>
        <w:outlineLvl w:val="1"/>
        <w:rPr>
          <w:sz w:val="24"/>
        </w:rPr>
      </w:pPr>
      <w:r>
        <w:rPr>
          <w:rFonts w:hint="eastAsia"/>
          <w:sz w:val="24"/>
        </w:rPr>
        <w:t>2）注明磋商公告或磋商邀请书中指明的项目名称、磋商编号和“在      年   月    日     时之前不得启封”的字样（填入规定的递交首次磋商响应文件日期和时间）。</w:t>
      </w:r>
    </w:p>
    <w:p>
      <w:pPr>
        <w:tabs>
          <w:tab w:val="left" w:pos="360"/>
        </w:tabs>
        <w:snapToGrid w:val="0"/>
        <w:spacing w:line="360" w:lineRule="auto"/>
        <w:ind w:left="357"/>
        <w:outlineLvl w:val="1"/>
        <w:rPr>
          <w:sz w:val="24"/>
        </w:rPr>
      </w:pPr>
      <w:r>
        <w:rPr>
          <w:rFonts w:hint="eastAsia"/>
          <w:sz w:val="24"/>
        </w:rPr>
        <w:t>3）在信封的封装处加盖供应商公章。</w:t>
      </w:r>
    </w:p>
    <w:p>
      <w:pPr>
        <w:numPr>
          <w:ilvl w:val="1"/>
          <w:numId w:val="3"/>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pPr>
        <w:numPr>
          <w:ilvl w:val="1"/>
          <w:numId w:val="3"/>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pPr>
        <w:numPr>
          <w:ilvl w:val="0"/>
          <w:numId w:val="3"/>
        </w:numPr>
        <w:tabs>
          <w:tab w:val="left" w:pos="360"/>
        </w:tabs>
        <w:snapToGrid w:val="0"/>
        <w:spacing w:line="360" w:lineRule="auto"/>
        <w:ind w:left="357" w:hanging="357"/>
        <w:outlineLvl w:val="1"/>
        <w:rPr>
          <w:sz w:val="24"/>
        </w:rPr>
      </w:pPr>
      <w:bookmarkStart w:id="347" w:name="_Toc151193634"/>
      <w:bookmarkStart w:id="348" w:name="_Toc265228374"/>
      <w:bookmarkStart w:id="349" w:name="_Toc150480774"/>
      <w:bookmarkStart w:id="350" w:name="_Toc150774636"/>
      <w:bookmarkStart w:id="351" w:name="_Toc226965809"/>
      <w:bookmarkStart w:id="352" w:name="_Toc226337232"/>
      <w:bookmarkStart w:id="353" w:name="_Toc149720829"/>
      <w:bookmarkStart w:id="354" w:name="_Toc164229377"/>
      <w:bookmarkStart w:id="355" w:name="_Toc151193778"/>
      <w:bookmarkStart w:id="356" w:name="_Toc226309780"/>
      <w:bookmarkStart w:id="357" w:name="_Toc264969226"/>
      <w:bookmarkStart w:id="358" w:name="_Toc520356161"/>
      <w:bookmarkStart w:id="359" w:name="_Toc164608805"/>
      <w:bookmarkStart w:id="360" w:name="_Toc151193924"/>
      <w:bookmarkStart w:id="361" w:name="_Toc127151737"/>
      <w:bookmarkStart w:id="362" w:name="_Toc305158804"/>
      <w:bookmarkStart w:id="363" w:name="_Toc151193850"/>
      <w:bookmarkStart w:id="364" w:name="_Toc195842901"/>
      <w:bookmarkStart w:id="365" w:name="_Toc142311038"/>
      <w:bookmarkStart w:id="366" w:name="_Toc164608650"/>
      <w:bookmarkStart w:id="367" w:name="_Toc150509287"/>
      <w:bookmarkStart w:id="368" w:name="_Toc226965726"/>
      <w:bookmarkStart w:id="369" w:name="_Toc150774741"/>
      <w:bookmarkStart w:id="370" w:name="_Toc305158878"/>
      <w:bookmarkStart w:id="371" w:name="_Toc127161450"/>
      <w:bookmarkStart w:id="372" w:name="_Toc151190163"/>
      <w:bookmarkStart w:id="373" w:name="_Toc127151536"/>
      <w:bookmarkStart w:id="374" w:name="_Toc164229231"/>
      <w:bookmarkStart w:id="375" w:name="_Toc151193706"/>
      <w:bookmarkStart w:id="376" w:name="_Toc164351630"/>
      <w:r>
        <w:rPr>
          <w:sz w:val="24"/>
        </w:rPr>
        <w:t>响应文件截止</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sz w:val="24"/>
        </w:rPr>
        <w:t>时间</w:t>
      </w:r>
    </w:p>
    <w:p>
      <w:pPr>
        <w:numPr>
          <w:ilvl w:val="1"/>
          <w:numId w:val="3"/>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pPr>
        <w:numPr>
          <w:ilvl w:val="1"/>
          <w:numId w:val="3"/>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pPr>
        <w:numPr>
          <w:ilvl w:val="1"/>
          <w:numId w:val="3"/>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pPr>
        <w:numPr>
          <w:ilvl w:val="0"/>
          <w:numId w:val="3"/>
        </w:numPr>
        <w:tabs>
          <w:tab w:val="left" w:pos="360"/>
        </w:tabs>
        <w:snapToGrid w:val="0"/>
        <w:spacing w:line="360" w:lineRule="auto"/>
        <w:ind w:left="357" w:hanging="357"/>
        <w:outlineLvl w:val="1"/>
        <w:rPr>
          <w:sz w:val="24"/>
        </w:rPr>
      </w:pPr>
      <w:bookmarkStart w:id="377" w:name="_Toc305158805"/>
      <w:bookmarkStart w:id="378" w:name="_Toc164229232"/>
      <w:bookmarkStart w:id="379" w:name="_Toc150774742"/>
      <w:bookmarkStart w:id="380" w:name="_Toc264969227"/>
      <w:bookmarkStart w:id="381" w:name="_Toc151193779"/>
      <w:bookmarkStart w:id="382" w:name="_Toc151190164"/>
      <w:bookmarkStart w:id="383" w:name="_Toc265228375"/>
      <w:bookmarkStart w:id="384" w:name="_Toc226965810"/>
      <w:bookmarkStart w:id="385" w:name="_Toc127151738"/>
      <w:bookmarkStart w:id="386" w:name="_Toc142311039"/>
      <w:bookmarkStart w:id="387" w:name="_Toc127151537"/>
      <w:bookmarkStart w:id="388" w:name="_Toc226309781"/>
      <w:bookmarkStart w:id="389" w:name="_Toc164608806"/>
      <w:bookmarkStart w:id="390" w:name="_Toc226337233"/>
      <w:bookmarkStart w:id="391" w:name="_Toc305158879"/>
      <w:bookmarkStart w:id="392" w:name="_Toc151193635"/>
      <w:bookmarkStart w:id="393" w:name="_Toc151193851"/>
      <w:bookmarkStart w:id="394" w:name="_Toc150774637"/>
      <w:bookmarkStart w:id="395" w:name="_Toc226965727"/>
      <w:bookmarkStart w:id="396" w:name="_Toc151193925"/>
      <w:bookmarkStart w:id="397" w:name="_Toc520356162"/>
      <w:bookmarkStart w:id="398" w:name="_Toc195842902"/>
      <w:bookmarkStart w:id="399" w:name="_Toc164351631"/>
      <w:bookmarkStart w:id="400" w:name="_Toc149720830"/>
      <w:bookmarkStart w:id="401" w:name="_Toc151193707"/>
      <w:bookmarkStart w:id="402" w:name="_Toc164608651"/>
      <w:bookmarkStart w:id="403" w:name="_Toc127161451"/>
      <w:bookmarkStart w:id="404" w:name="_Toc164229378"/>
      <w:bookmarkStart w:id="405" w:name="_Toc150509288"/>
      <w:bookmarkStart w:id="406" w:name="_Toc150480775"/>
      <w:r>
        <w:rPr>
          <w:sz w:val="24"/>
        </w:rPr>
        <w:t>响应文件的修改与撤回</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pPr>
        <w:numPr>
          <w:ilvl w:val="1"/>
          <w:numId w:val="3"/>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pPr>
        <w:numPr>
          <w:ilvl w:val="1"/>
          <w:numId w:val="3"/>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pPr>
        <w:tabs>
          <w:tab w:val="left" w:pos="900"/>
          <w:tab w:val="left" w:pos="1080"/>
          <w:tab w:val="left" w:pos="1589"/>
        </w:tabs>
        <w:snapToGrid w:val="0"/>
        <w:spacing w:line="360" w:lineRule="auto"/>
        <w:ind w:left="357"/>
        <w:rPr>
          <w:sz w:val="24"/>
        </w:rPr>
      </w:pPr>
    </w:p>
    <w:p>
      <w:pPr>
        <w:pStyle w:val="4"/>
        <w:spacing w:before="0" w:line="360" w:lineRule="auto"/>
        <w:rPr>
          <w:rFonts w:ascii="Times New Roman" w:hAnsi="Times New Roman" w:eastAsia="宋体"/>
          <w:sz w:val="28"/>
        </w:rPr>
      </w:pPr>
      <w:bookmarkStart w:id="407" w:name="_Toc226965728"/>
      <w:bookmarkStart w:id="408" w:name="_Toc305158880"/>
      <w:bookmarkStart w:id="409" w:name="_Toc305158806"/>
      <w:bookmarkStart w:id="410" w:name="_Toc151193636"/>
      <w:bookmarkStart w:id="411" w:name="_Toc151193852"/>
      <w:bookmarkStart w:id="412" w:name="_Toc226309782"/>
      <w:bookmarkStart w:id="413" w:name="_Toc195842903"/>
      <w:bookmarkStart w:id="414" w:name="_Toc142311040"/>
      <w:bookmarkStart w:id="415" w:name="_Toc226965811"/>
      <w:bookmarkStart w:id="416" w:name="_Toc520356163"/>
      <w:bookmarkStart w:id="417" w:name="_Toc150509289"/>
      <w:bookmarkStart w:id="418" w:name="_Toc151190165"/>
      <w:bookmarkStart w:id="419" w:name="_Toc264969228"/>
      <w:bookmarkStart w:id="420" w:name="_Toc150774743"/>
      <w:bookmarkStart w:id="421" w:name="_Toc150480776"/>
      <w:bookmarkStart w:id="422" w:name="_Toc127151538"/>
      <w:bookmarkStart w:id="423" w:name="_Toc151193926"/>
      <w:bookmarkStart w:id="424" w:name="_Toc265228376"/>
      <w:bookmarkStart w:id="425" w:name="_Toc151193708"/>
      <w:bookmarkStart w:id="426" w:name="_Toc151193780"/>
      <w:bookmarkStart w:id="427" w:name="_Toc150774638"/>
      <w:bookmarkStart w:id="428" w:name="_Toc226337234"/>
      <w:r>
        <w:rPr>
          <w:rFonts w:ascii="Times New Roman" w:hAnsi="Times New Roman" w:eastAsia="宋体"/>
          <w:sz w:val="28"/>
        </w:rPr>
        <w:t xml:space="preserve">五   </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rFonts w:ascii="Times New Roman" w:hAnsi="Times New Roman" w:eastAsia="宋体"/>
          <w:sz w:val="28"/>
        </w:rPr>
        <w:t>评审</w:t>
      </w:r>
    </w:p>
    <w:p>
      <w:pPr>
        <w:numPr>
          <w:ilvl w:val="0"/>
          <w:numId w:val="3"/>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pPr>
        <w:numPr>
          <w:ilvl w:val="1"/>
          <w:numId w:val="3"/>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pPr>
        <w:numPr>
          <w:ilvl w:val="1"/>
          <w:numId w:val="3"/>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3"/>
        </w:numPr>
        <w:tabs>
          <w:tab w:val="left" w:pos="1080"/>
          <w:tab w:val="left" w:pos="2014"/>
        </w:tabs>
        <w:snapToGrid w:val="0"/>
        <w:spacing w:line="360" w:lineRule="auto"/>
        <w:ind w:left="1077" w:hanging="720"/>
        <w:rPr>
          <w:sz w:val="24"/>
        </w:rPr>
      </w:pPr>
      <w:r>
        <w:rPr>
          <w:sz w:val="24"/>
        </w:rPr>
        <w:t>供应商不足3家的，响应文件不予开启。</w:t>
      </w:r>
    </w:p>
    <w:p>
      <w:pPr>
        <w:numPr>
          <w:ilvl w:val="0"/>
          <w:numId w:val="3"/>
        </w:numPr>
        <w:tabs>
          <w:tab w:val="left" w:pos="360"/>
        </w:tabs>
        <w:snapToGrid w:val="0"/>
        <w:spacing w:line="360" w:lineRule="auto"/>
        <w:ind w:left="357" w:hanging="357"/>
        <w:outlineLvl w:val="1"/>
        <w:rPr>
          <w:sz w:val="24"/>
        </w:rPr>
      </w:pPr>
      <w:r>
        <w:rPr>
          <w:sz w:val="24"/>
        </w:rPr>
        <w:t>磋商小组</w:t>
      </w:r>
    </w:p>
    <w:p>
      <w:pPr>
        <w:numPr>
          <w:ilvl w:val="1"/>
          <w:numId w:val="3"/>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9" w:name="_Toc520356166"/>
    </w:p>
    <w:p>
      <w:pPr>
        <w:numPr>
          <w:ilvl w:val="1"/>
          <w:numId w:val="3"/>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29"/>
      <w:bookmarkStart w:id="430" w:name="_Toc520356169"/>
    </w:p>
    <w:p>
      <w:pPr>
        <w:numPr>
          <w:ilvl w:val="0"/>
          <w:numId w:val="3"/>
        </w:numPr>
        <w:tabs>
          <w:tab w:val="left" w:pos="360"/>
        </w:tabs>
        <w:snapToGrid w:val="0"/>
        <w:spacing w:line="360" w:lineRule="auto"/>
        <w:outlineLvl w:val="1"/>
        <w:rPr>
          <w:sz w:val="24"/>
        </w:rPr>
      </w:pPr>
      <w:r>
        <w:rPr>
          <w:sz w:val="24"/>
        </w:rPr>
        <w:t>评审方法和评审标准</w:t>
      </w:r>
    </w:p>
    <w:p>
      <w:pPr>
        <w:numPr>
          <w:ilvl w:val="1"/>
          <w:numId w:val="3"/>
        </w:numPr>
        <w:tabs>
          <w:tab w:val="left" w:pos="1080"/>
          <w:tab w:val="left" w:pos="2014"/>
        </w:tabs>
        <w:snapToGrid w:val="0"/>
        <w:spacing w:line="360" w:lineRule="auto"/>
        <w:ind w:left="1077" w:hanging="720"/>
        <w:rPr>
          <w:sz w:val="24"/>
        </w:rPr>
      </w:pPr>
      <w:r>
        <w:rPr>
          <w:sz w:val="24"/>
        </w:rPr>
        <w:t>见第三章《评审方法和评审标准》。</w:t>
      </w:r>
    </w:p>
    <w:p>
      <w:pPr>
        <w:tabs>
          <w:tab w:val="left" w:pos="360"/>
          <w:tab w:val="left" w:pos="1080"/>
        </w:tabs>
        <w:snapToGrid w:val="0"/>
        <w:spacing w:line="360" w:lineRule="auto"/>
        <w:ind w:left="1080"/>
        <w:rPr>
          <w:sz w:val="24"/>
        </w:rPr>
      </w:pPr>
    </w:p>
    <w:p>
      <w:pPr>
        <w:pStyle w:val="4"/>
        <w:spacing w:before="0" w:line="360" w:lineRule="auto"/>
        <w:rPr>
          <w:rFonts w:ascii="Times New Roman" w:hAnsi="Times New Roman" w:eastAsia="宋体"/>
          <w:sz w:val="28"/>
        </w:rPr>
      </w:pPr>
      <w:bookmarkStart w:id="431" w:name="_Toc142311047"/>
      <w:bookmarkStart w:id="432" w:name="_Toc150774750"/>
      <w:bookmarkStart w:id="433" w:name="_Toc226965818"/>
      <w:bookmarkStart w:id="434" w:name="_Toc127151545"/>
      <w:bookmarkStart w:id="435" w:name="_Toc226965735"/>
      <w:bookmarkStart w:id="436" w:name="_Toc226337241"/>
      <w:bookmarkStart w:id="437" w:name="_Toc305158813"/>
      <w:bookmarkStart w:id="438" w:name="_Toc151193933"/>
      <w:bookmarkStart w:id="439" w:name="_Toc195842910"/>
      <w:bookmarkStart w:id="440" w:name="_Toc264969235"/>
      <w:bookmarkStart w:id="441" w:name="_Toc150509296"/>
      <w:bookmarkStart w:id="442" w:name="_Toc151193643"/>
      <w:bookmarkStart w:id="443" w:name="_Toc151190172"/>
      <w:bookmarkStart w:id="444" w:name="_Toc151193859"/>
      <w:bookmarkStart w:id="445" w:name="_Toc150480783"/>
      <w:bookmarkStart w:id="446" w:name="_Toc151193787"/>
      <w:bookmarkStart w:id="447" w:name="_Toc150774645"/>
      <w:bookmarkStart w:id="448" w:name="_Toc265228383"/>
      <w:bookmarkStart w:id="449" w:name="_Toc151193715"/>
      <w:bookmarkStart w:id="450" w:name="_Toc226309789"/>
      <w:bookmarkStart w:id="451" w:name="_Toc305158887"/>
      <w:r>
        <w:rPr>
          <w:rFonts w:ascii="Times New Roman" w:hAnsi="Times New Roman" w:eastAsia="宋体"/>
          <w:sz w:val="28"/>
        </w:rPr>
        <w:t xml:space="preserve">六   </w:t>
      </w:r>
      <w:bookmarkEnd w:id="430"/>
      <w:r>
        <w:rPr>
          <w:rFonts w:ascii="Times New Roman" w:hAnsi="Times New Roman" w:eastAsia="宋体"/>
          <w:sz w:val="28"/>
        </w:rPr>
        <w:t>确定</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ascii="Times New Roman" w:hAnsi="Times New Roman" w:eastAsia="宋体"/>
          <w:sz w:val="28"/>
        </w:rPr>
        <w:t>成交</w:t>
      </w:r>
    </w:p>
    <w:p>
      <w:pPr>
        <w:numPr>
          <w:ilvl w:val="0"/>
          <w:numId w:val="3"/>
        </w:numPr>
        <w:tabs>
          <w:tab w:val="left" w:pos="360"/>
        </w:tabs>
        <w:snapToGrid w:val="0"/>
        <w:spacing w:line="360" w:lineRule="auto"/>
        <w:ind w:left="357" w:hanging="357"/>
        <w:outlineLvl w:val="1"/>
        <w:rPr>
          <w:sz w:val="24"/>
        </w:rPr>
      </w:pPr>
      <w:bookmarkStart w:id="452" w:name="_Toc195842912"/>
      <w:bookmarkStart w:id="453" w:name="_Toc151193935"/>
      <w:bookmarkStart w:id="454" w:name="_Toc226965737"/>
      <w:bookmarkStart w:id="455" w:name="_Toc127151547"/>
      <w:bookmarkStart w:id="456" w:name="_Toc151190174"/>
      <w:bookmarkStart w:id="457" w:name="_Toc127151748"/>
      <w:bookmarkStart w:id="458" w:name="_Toc226309791"/>
      <w:bookmarkStart w:id="459" w:name="_Toc151193789"/>
      <w:bookmarkStart w:id="460" w:name="_Toc151193645"/>
      <w:bookmarkStart w:id="461" w:name="_Toc164351641"/>
      <w:bookmarkStart w:id="462" w:name="_Toc164608661"/>
      <w:bookmarkStart w:id="463" w:name="_Toc226965820"/>
      <w:bookmarkStart w:id="464" w:name="_Toc164608816"/>
      <w:bookmarkStart w:id="465" w:name="_Toc305158889"/>
      <w:bookmarkStart w:id="466" w:name="_Toc264969237"/>
      <w:bookmarkStart w:id="467" w:name="_Toc151193717"/>
      <w:bookmarkStart w:id="468" w:name="_Toc151193861"/>
      <w:bookmarkStart w:id="469" w:name="_Toc127161461"/>
      <w:bookmarkStart w:id="470" w:name="_Toc150774752"/>
      <w:bookmarkStart w:id="471" w:name="_Toc164229242"/>
      <w:bookmarkStart w:id="472" w:name="_Toc142311049"/>
      <w:bookmarkStart w:id="473" w:name="_Toc226337243"/>
      <w:bookmarkStart w:id="474" w:name="_Toc265228385"/>
      <w:bookmarkStart w:id="475" w:name="_Toc150774647"/>
      <w:bookmarkStart w:id="476" w:name="_Toc150480785"/>
      <w:bookmarkStart w:id="477" w:name="_Toc305158815"/>
      <w:bookmarkStart w:id="478" w:name="_Toc149720840"/>
      <w:bookmarkStart w:id="479" w:name="_Toc164229388"/>
      <w:bookmarkStart w:id="480" w:name="_Toc150509298"/>
      <w:r>
        <w:rPr>
          <w:sz w:val="24"/>
        </w:rPr>
        <w:t>确定成交供应商</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pPr>
        <w:numPr>
          <w:ilvl w:val="1"/>
          <w:numId w:val="3"/>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pPr>
        <w:numPr>
          <w:ilvl w:val="0"/>
          <w:numId w:val="3"/>
        </w:numPr>
        <w:tabs>
          <w:tab w:val="left" w:pos="360"/>
        </w:tabs>
        <w:snapToGrid w:val="0"/>
        <w:spacing w:line="360" w:lineRule="auto"/>
        <w:ind w:left="357" w:hanging="357"/>
        <w:outlineLvl w:val="1"/>
        <w:rPr>
          <w:sz w:val="24"/>
        </w:rPr>
      </w:pPr>
      <w:bookmarkStart w:id="481" w:name="_Toc305158817"/>
      <w:bookmarkStart w:id="482" w:name="_Toc305158891"/>
      <w:bookmarkStart w:id="483" w:name="_Toc150774649"/>
      <w:bookmarkStart w:id="484" w:name="_Toc151193719"/>
      <w:bookmarkStart w:id="485" w:name="_Toc164229244"/>
      <w:bookmarkStart w:id="486" w:name="_Toc164351643"/>
      <w:bookmarkStart w:id="487" w:name="_Toc265228387"/>
      <w:bookmarkStart w:id="488" w:name="_Toc195842914"/>
      <w:bookmarkStart w:id="489" w:name="_Toc150774754"/>
      <w:bookmarkStart w:id="490" w:name="_Toc226337245"/>
      <w:bookmarkStart w:id="491" w:name="_Toc151193937"/>
      <w:bookmarkStart w:id="492" w:name="_Toc149720842"/>
      <w:bookmarkStart w:id="493" w:name="_Toc226309793"/>
      <w:bookmarkStart w:id="494" w:name="_Toc226965739"/>
      <w:bookmarkStart w:id="495" w:name="_Toc164229390"/>
      <w:bookmarkStart w:id="496" w:name="_Toc164608663"/>
      <w:bookmarkStart w:id="497" w:name="_Toc151190176"/>
      <w:bookmarkStart w:id="498" w:name="_Toc151193647"/>
      <w:bookmarkStart w:id="499" w:name="_Toc127161463"/>
      <w:bookmarkStart w:id="500" w:name="_Toc150509300"/>
      <w:bookmarkStart w:id="501" w:name="_Toc127151750"/>
      <w:bookmarkStart w:id="502" w:name="_Toc164608818"/>
      <w:bookmarkStart w:id="503" w:name="_Toc264969239"/>
      <w:bookmarkStart w:id="504" w:name="_Toc226965822"/>
      <w:bookmarkStart w:id="505" w:name="_Toc127151549"/>
      <w:bookmarkStart w:id="506" w:name="_Toc142311051"/>
      <w:bookmarkStart w:id="507" w:name="_Toc151193863"/>
      <w:bookmarkStart w:id="508" w:name="_Toc151193791"/>
      <w:bookmarkStart w:id="509" w:name="_Toc150480787"/>
      <w:bookmarkStart w:id="510" w:name="_Toc520356176"/>
      <w:bookmarkStart w:id="511" w:name="_Ref467306425"/>
      <w:bookmarkStart w:id="512" w:name="_Ref467307090"/>
      <w:r>
        <w:rPr>
          <w:sz w:val="24"/>
        </w:rPr>
        <w:t>成交公告与成交通知书</w:t>
      </w:r>
      <w:bookmarkEnd w:id="481"/>
      <w:bookmarkEnd w:id="482"/>
    </w:p>
    <w:p>
      <w:pPr>
        <w:numPr>
          <w:ilvl w:val="1"/>
          <w:numId w:val="3"/>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在成交供应商确定后2个工作日内，在</w:t>
      </w:r>
      <w:r>
        <w:rPr>
          <w:rFonts w:hint="eastAsia"/>
          <w:sz w:val="24"/>
        </w:rPr>
        <w:t>北京市政府采购网</w:t>
      </w:r>
      <w:r>
        <w:rPr>
          <w:kern w:val="0"/>
          <w:sz w:val="24"/>
        </w:rPr>
        <w:t>公告成交结果，同时向成交供应商发出成交通知书，</w:t>
      </w:r>
      <w:r>
        <w:rPr>
          <w:sz w:val="24"/>
        </w:rPr>
        <w:t>成交公告期限为1个工作日。</w:t>
      </w:r>
    </w:p>
    <w:p>
      <w:pPr>
        <w:numPr>
          <w:ilvl w:val="1"/>
          <w:numId w:val="3"/>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pPr>
        <w:numPr>
          <w:ilvl w:val="0"/>
          <w:numId w:val="3"/>
        </w:numPr>
        <w:tabs>
          <w:tab w:val="left" w:pos="360"/>
        </w:tabs>
        <w:snapToGrid w:val="0"/>
        <w:spacing w:line="360" w:lineRule="auto"/>
        <w:ind w:left="357" w:hanging="357"/>
        <w:outlineLvl w:val="1"/>
        <w:rPr>
          <w:sz w:val="24"/>
        </w:rPr>
      </w:pPr>
      <w:r>
        <w:rPr>
          <w:sz w:val="24"/>
        </w:rPr>
        <w:t>终止</w:t>
      </w:r>
    </w:p>
    <w:p>
      <w:pPr>
        <w:numPr>
          <w:ilvl w:val="1"/>
          <w:numId w:val="3"/>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pPr>
        <w:numPr>
          <w:ilvl w:val="2"/>
          <w:numId w:val="3"/>
        </w:numPr>
        <w:snapToGrid w:val="0"/>
        <w:spacing w:line="360" w:lineRule="auto"/>
        <w:rPr>
          <w:sz w:val="24"/>
        </w:rPr>
      </w:pPr>
      <w:r>
        <w:rPr>
          <w:sz w:val="24"/>
        </w:rPr>
        <w:t>因情况变化，不再符合规定的竞争性磋商采购方式适用情形的；</w:t>
      </w:r>
    </w:p>
    <w:p>
      <w:pPr>
        <w:numPr>
          <w:ilvl w:val="2"/>
          <w:numId w:val="3"/>
        </w:numPr>
        <w:snapToGrid w:val="0"/>
        <w:spacing w:line="360" w:lineRule="auto"/>
        <w:rPr>
          <w:sz w:val="24"/>
        </w:rPr>
      </w:pPr>
      <w:r>
        <w:rPr>
          <w:sz w:val="24"/>
        </w:rPr>
        <w:t>出现影响采购公正的违法、违规行为的；</w:t>
      </w:r>
    </w:p>
    <w:p>
      <w:pPr>
        <w:numPr>
          <w:ilvl w:val="2"/>
          <w:numId w:val="3"/>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Pr>
        <w:numPr>
          <w:ilvl w:val="0"/>
          <w:numId w:val="3"/>
        </w:numPr>
        <w:tabs>
          <w:tab w:val="left" w:pos="360"/>
        </w:tabs>
        <w:snapToGrid w:val="0"/>
        <w:spacing w:line="360" w:lineRule="auto"/>
        <w:ind w:left="357" w:hanging="357"/>
        <w:outlineLvl w:val="1"/>
        <w:rPr>
          <w:sz w:val="24"/>
        </w:rPr>
      </w:pPr>
      <w:bookmarkStart w:id="513" w:name="_Toc164229245"/>
      <w:bookmarkStart w:id="514" w:name="_Toc142311052"/>
      <w:bookmarkStart w:id="515" w:name="_Ref467306978"/>
      <w:bookmarkStart w:id="516" w:name="_Toc151193720"/>
      <w:bookmarkStart w:id="517" w:name="_Toc127151751"/>
      <w:bookmarkStart w:id="518" w:name="_Toc127151550"/>
      <w:bookmarkStart w:id="519" w:name="_Toc127161464"/>
      <w:bookmarkStart w:id="520" w:name="_Toc151190177"/>
      <w:bookmarkStart w:id="521" w:name="_Toc226965740"/>
      <w:bookmarkStart w:id="522" w:name="_Toc151193864"/>
      <w:bookmarkStart w:id="523" w:name="_Toc520356175"/>
      <w:bookmarkStart w:id="524" w:name="_Toc151193938"/>
      <w:bookmarkStart w:id="525" w:name="_Toc264969240"/>
      <w:bookmarkStart w:id="526" w:name="_Toc305158818"/>
      <w:bookmarkStart w:id="527" w:name="_Toc305158892"/>
      <w:bookmarkStart w:id="528" w:name="_Toc226309794"/>
      <w:bookmarkStart w:id="529" w:name="_Toc151193792"/>
      <w:bookmarkStart w:id="530" w:name="_Toc149720843"/>
      <w:bookmarkStart w:id="531" w:name="_Ref467307204"/>
      <w:bookmarkStart w:id="532" w:name="_Toc164608664"/>
      <w:bookmarkStart w:id="533" w:name="_Toc150774755"/>
      <w:bookmarkStart w:id="534" w:name="_Toc151193648"/>
      <w:bookmarkStart w:id="535" w:name="_Toc150509301"/>
      <w:bookmarkStart w:id="536" w:name="_Toc150480788"/>
      <w:bookmarkStart w:id="537" w:name="_Ref467307062"/>
      <w:bookmarkStart w:id="538" w:name="_Toc164351644"/>
      <w:bookmarkStart w:id="539" w:name="_Toc150774650"/>
      <w:bookmarkStart w:id="540" w:name="_Toc265228388"/>
      <w:bookmarkStart w:id="541" w:name="_Toc226337246"/>
      <w:bookmarkStart w:id="542" w:name="_Toc164608819"/>
      <w:bookmarkStart w:id="543" w:name="_Toc164229391"/>
      <w:bookmarkStart w:id="544" w:name="_Toc195842915"/>
      <w:bookmarkStart w:id="545" w:name="_Ref467306377"/>
      <w:bookmarkStart w:id="546" w:name="_Toc226965823"/>
      <w:r>
        <w:rPr>
          <w:sz w:val="24"/>
        </w:rPr>
        <w:t>签订合同</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pPr>
        <w:numPr>
          <w:ilvl w:val="1"/>
          <w:numId w:val="3"/>
        </w:numPr>
        <w:tabs>
          <w:tab w:val="left" w:pos="1080"/>
          <w:tab w:val="left" w:pos="2014"/>
        </w:tabs>
        <w:snapToGrid w:val="0"/>
        <w:spacing w:line="360" w:lineRule="auto"/>
        <w:ind w:left="1077" w:hanging="720"/>
        <w:rPr>
          <w:sz w:val="24"/>
        </w:rPr>
      </w:pPr>
      <w:r>
        <w:rPr>
          <w:sz w:val="24"/>
        </w:rPr>
        <w:t>采购人与成交供应商将在成交通知书发出之日起30日内，按照磋商文件确定的合同文本以及采购标的、规格型号、采购金额、采购数量、技术和服务要求等事项签订政府采购合同。</w:t>
      </w:r>
    </w:p>
    <w:p>
      <w:pPr>
        <w:numPr>
          <w:ilvl w:val="1"/>
          <w:numId w:val="3"/>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3"/>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pPr>
        <w:numPr>
          <w:ilvl w:val="1"/>
          <w:numId w:val="3"/>
        </w:numPr>
        <w:tabs>
          <w:tab w:val="left" w:pos="1080"/>
          <w:tab w:val="left" w:pos="2014"/>
        </w:tabs>
        <w:snapToGrid w:val="0"/>
        <w:spacing w:line="360" w:lineRule="auto"/>
        <w:ind w:left="1077" w:hanging="720"/>
        <w:rPr>
          <w:sz w:val="24"/>
        </w:rPr>
      </w:pPr>
      <w:r>
        <w:rPr>
          <w:sz w:val="24"/>
        </w:rPr>
        <w:t>政府采购合同不能转包。</w:t>
      </w:r>
    </w:p>
    <w:p>
      <w:pPr>
        <w:numPr>
          <w:ilvl w:val="1"/>
          <w:numId w:val="3"/>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10"/>
    <w:bookmarkEnd w:id="511"/>
    <w:bookmarkEnd w:id="512"/>
    <w:p>
      <w:pPr>
        <w:numPr>
          <w:ilvl w:val="0"/>
          <w:numId w:val="3"/>
        </w:numPr>
        <w:tabs>
          <w:tab w:val="left" w:pos="360"/>
        </w:tabs>
        <w:snapToGrid w:val="0"/>
        <w:spacing w:line="360" w:lineRule="auto"/>
        <w:ind w:left="357" w:hanging="357"/>
        <w:outlineLvl w:val="1"/>
        <w:rPr>
          <w:sz w:val="24"/>
        </w:rPr>
      </w:pPr>
      <w:r>
        <w:rPr>
          <w:sz w:val="24"/>
        </w:rPr>
        <w:t>询问与质疑</w:t>
      </w:r>
    </w:p>
    <w:p>
      <w:pPr>
        <w:numPr>
          <w:ilvl w:val="1"/>
          <w:numId w:val="3"/>
        </w:numPr>
        <w:tabs>
          <w:tab w:val="left" w:pos="1080"/>
          <w:tab w:val="left" w:pos="2014"/>
        </w:tabs>
        <w:snapToGrid w:val="0"/>
        <w:spacing w:line="360" w:lineRule="auto"/>
        <w:ind w:left="1077" w:hanging="720"/>
        <w:rPr>
          <w:sz w:val="24"/>
        </w:rPr>
      </w:pPr>
      <w:r>
        <w:rPr>
          <w:sz w:val="24"/>
        </w:rPr>
        <w:t>询问</w:t>
      </w:r>
    </w:p>
    <w:p>
      <w:pPr>
        <w:numPr>
          <w:ilvl w:val="2"/>
          <w:numId w:val="3"/>
        </w:numPr>
        <w:snapToGrid w:val="0"/>
        <w:spacing w:line="360" w:lineRule="auto"/>
        <w:rPr>
          <w:sz w:val="24"/>
        </w:rPr>
      </w:pPr>
      <w:r>
        <w:rPr>
          <w:sz w:val="24"/>
        </w:rPr>
        <w:t>供应商对政府采购活动事项有疑问的，可依法提出询问，并按《供应商须知资料表》载明的形式送达采购人或采购代理机构。</w:t>
      </w:r>
    </w:p>
    <w:p>
      <w:pPr>
        <w:numPr>
          <w:ilvl w:val="2"/>
          <w:numId w:val="3"/>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3"/>
        </w:numPr>
        <w:tabs>
          <w:tab w:val="left" w:pos="1080"/>
          <w:tab w:val="left" w:pos="2014"/>
        </w:tabs>
        <w:snapToGrid w:val="0"/>
        <w:spacing w:line="360" w:lineRule="auto"/>
        <w:ind w:left="1077" w:hanging="720"/>
        <w:rPr>
          <w:sz w:val="24"/>
        </w:rPr>
      </w:pPr>
      <w:r>
        <w:rPr>
          <w:sz w:val="24"/>
        </w:rPr>
        <w:t>质疑</w:t>
      </w:r>
    </w:p>
    <w:p>
      <w:pPr>
        <w:numPr>
          <w:ilvl w:val="2"/>
          <w:numId w:val="3"/>
        </w:numPr>
        <w:snapToGrid w:val="0"/>
        <w:spacing w:line="360" w:lineRule="auto"/>
        <w:rPr>
          <w:sz w:val="24"/>
        </w:rPr>
      </w:pPr>
      <w:r>
        <w:rPr>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numPr>
          <w:ilvl w:val="2"/>
          <w:numId w:val="3"/>
        </w:numPr>
        <w:snapToGrid w:val="0"/>
        <w:spacing w:line="360" w:lineRule="auto"/>
        <w:rPr>
          <w:sz w:val="24"/>
        </w:rPr>
      </w:pPr>
      <w:r>
        <w:rPr>
          <w:sz w:val="24"/>
        </w:rPr>
        <w:t>质疑函须使用财政部制定的范本文件。</w:t>
      </w:r>
    </w:p>
    <w:p>
      <w:pPr>
        <w:numPr>
          <w:ilvl w:val="2"/>
          <w:numId w:val="3"/>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pPr>
        <w:numPr>
          <w:ilvl w:val="2"/>
          <w:numId w:val="3"/>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pPr>
        <w:numPr>
          <w:ilvl w:val="1"/>
          <w:numId w:val="3"/>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pPr>
        <w:numPr>
          <w:ilvl w:val="0"/>
          <w:numId w:val="3"/>
        </w:numPr>
        <w:tabs>
          <w:tab w:val="left" w:pos="360"/>
        </w:tabs>
        <w:snapToGrid w:val="0"/>
        <w:spacing w:line="360" w:lineRule="auto"/>
        <w:ind w:left="357" w:hanging="357"/>
        <w:outlineLvl w:val="1"/>
        <w:rPr>
          <w:sz w:val="24"/>
        </w:rPr>
      </w:pPr>
      <w:r>
        <w:rPr>
          <w:sz w:val="24"/>
        </w:rPr>
        <w:t>代理费</w:t>
      </w:r>
    </w:p>
    <w:p>
      <w:pPr>
        <w:numPr>
          <w:ilvl w:val="1"/>
          <w:numId w:val="3"/>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547" w:name="_Toc353825544"/>
      <w:bookmarkStart w:id="548" w:name="_Toc127151554"/>
      <w:bookmarkStart w:id="549" w:name="_Toc150480792"/>
      <w:bookmarkStart w:id="550" w:name="_Toc142311056"/>
      <w:bookmarkStart w:id="551" w:name="_Toc264969244"/>
      <w:bookmarkStart w:id="552" w:name="_Toc226965827"/>
      <w:bookmarkStart w:id="553" w:name="_Toc305158822"/>
      <w:bookmarkStart w:id="554" w:name="_Toc353873664"/>
      <w:bookmarkStart w:id="555" w:name="_Toc265228392"/>
      <w:bookmarkStart w:id="556" w:name="_Toc353873934"/>
      <w:bookmarkStart w:id="557" w:name="_Toc226337250"/>
      <w:bookmarkStart w:id="558" w:name="_Toc150774759"/>
      <w:bookmarkStart w:id="559" w:name="_Toc305158896"/>
      <w:r>
        <w:rPr>
          <w:sz w:val="24"/>
        </w:rPr>
        <w:br w:type="page"/>
      </w:r>
      <w:bookmarkStart w:id="560" w:name="_Toc24343"/>
      <w:r>
        <w:rPr>
          <w:b/>
          <w:sz w:val="36"/>
          <w:szCs w:val="36"/>
        </w:rPr>
        <w:t xml:space="preserve">第三章   </w:t>
      </w:r>
      <w:bookmarkEnd w:id="547"/>
      <w:bookmarkEnd w:id="548"/>
      <w:bookmarkEnd w:id="549"/>
      <w:bookmarkEnd w:id="550"/>
      <w:bookmarkEnd w:id="551"/>
      <w:bookmarkEnd w:id="552"/>
      <w:bookmarkEnd w:id="553"/>
      <w:bookmarkEnd w:id="554"/>
      <w:bookmarkEnd w:id="555"/>
      <w:bookmarkEnd w:id="556"/>
      <w:bookmarkEnd w:id="557"/>
      <w:bookmarkEnd w:id="558"/>
      <w:bookmarkEnd w:id="559"/>
      <w:r>
        <w:rPr>
          <w:b/>
          <w:sz w:val="36"/>
          <w:szCs w:val="36"/>
        </w:rPr>
        <w:t>评审方法和评审标准</w:t>
      </w:r>
      <w:bookmarkEnd w:id="560"/>
      <w:bookmarkStart w:id="561" w:name="_Toc487900382"/>
    </w:p>
    <w:p>
      <w:pPr>
        <w:pStyle w:val="4"/>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pPr>
        <w:tabs>
          <w:tab w:val="left" w:pos="1080"/>
        </w:tabs>
        <w:snapToGrid w:val="0"/>
        <w:jc w:val="left"/>
        <w:rPr>
          <w:b/>
          <w:sz w:val="24"/>
        </w:rPr>
      </w:pPr>
      <w:r>
        <w:rPr>
          <w:b/>
          <w:sz w:val="24"/>
        </w:rPr>
        <w:tab/>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561"/>
    <w:p>
      <w:pPr>
        <w:numPr>
          <w:ilvl w:val="0"/>
          <w:numId w:val="5"/>
        </w:numPr>
        <w:tabs>
          <w:tab w:val="left" w:pos="360"/>
        </w:tabs>
        <w:snapToGrid w:val="0"/>
        <w:spacing w:line="360" w:lineRule="auto"/>
        <w:outlineLvl w:val="1"/>
        <w:rPr>
          <w:sz w:val="24"/>
        </w:rPr>
      </w:pPr>
      <w:bookmarkStart w:id="562" w:name="_Toc150774746"/>
      <w:bookmarkStart w:id="563" w:name="_Toc150774641"/>
      <w:bookmarkStart w:id="564" w:name="_Toc151193855"/>
      <w:bookmarkStart w:id="565" w:name="_Toc150480779"/>
      <w:bookmarkStart w:id="566" w:name="_Toc305158809"/>
      <w:bookmarkStart w:id="567" w:name="_Toc164229382"/>
      <w:bookmarkStart w:id="568" w:name="_Toc142311043"/>
      <w:bookmarkStart w:id="569" w:name="_Toc264969231"/>
      <w:bookmarkStart w:id="570" w:name="_Toc195842906"/>
      <w:bookmarkStart w:id="571" w:name="_Toc164608655"/>
      <w:bookmarkStart w:id="572" w:name="_Toc226309785"/>
      <w:bookmarkStart w:id="573" w:name="_Toc149720834"/>
      <w:bookmarkStart w:id="574" w:name="_Toc151193929"/>
      <w:bookmarkStart w:id="575" w:name="_Toc127151541"/>
      <w:bookmarkStart w:id="576" w:name="_Toc127151742"/>
      <w:bookmarkStart w:id="577" w:name="_Toc226965731"/>
      <w:bookmarkStart w:id="578" w:name="_Toc226337237"/>
      <w:bookmarkStart w:id="579" w:name="_Toc164351635"/>
      <w:bookmarkStart w:id="580" w:name="_Toc127161455"/>
      <w:bookmarkStart w:id="581" w:name="_Toc151190168"/>
      <w:bookmarkStart w:id="582" w:name="_Toc151193711"/>
      <w:bookmarkStart w:id="583" w:name="_Toc151193639"/>
      <w:bookmarkStart w:id="584" w:name="_Toc226965814"/>
      <w:bookmarkStart w:id="585" w:name="_Toc305158883"/>
      <w:bookmarkStart w:id="586" w:name="_Toc265228379"/>
      <w:bookmarkStart w:id="587" w:name="_Toc150509292"/>
      <w:bookmarkStart w:id="588" w:name="_Toc164229236"/>
      <w:bookmarkStart w:id="589" w:name="_Toc151193783"/>
      <w:bookmarkStart w:id="590" w:name="_Toc164608810"/>
      <w:bookmarkStart w:id="591" w:name="_Toc353873941"/>
      <w:bookmarkStart w:id="592" w:name="_Toc353825551"/>
      <w:bookmarkStart w:id="593" w:name="_Toc127151555"/>
      <w:bookmarkStart w:id="594" w:name="_Toc195842920"/>
      <w:bookmarkStart w:id="595" w:name="_Toc305158823"/>
      <w:bookmarkStart w:id="596" w:name="_Toc150480793"/>
      <w:bookmarkStart w:id="597" w:name="_Toc353873665"/>
      <w:bookmarkStart w:id="598" w:name="_Toc353825545"/>
      <w:bookmarkStart w:id="599" w:name="_Toc265228393"/>
      <w:bookmarkStart w:id="600" w:name="_Toc142311057"/>
      <w:bookmarkStart w:id="601" w:name="_Toc226337251"/>
      <w:bookmarkStart w:id="602" w:name="_Toc305158897"/>
      <w:bookmarkStart w:id="603" w:name="_Toc226965828"/>
      <w:bookmarkStart w:id="604" w:name="_Toc150774760"/>
      <w:bookmarkStart w:id="605" w:name="_Toc264969245"/>
      <w:bookmarkStart w:id="606" w:name="_Toc353873935"/>
      <w:r>
        <w:rPr>
          <w:sz w:val="24"/>
        </w:rPr>
        <w:t>响应文件的</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Pr>
          <w:sz w:val="24"/>
        </w:rPr>
        <w:t>资格性检查和符合性审查</w:t>
      </w:r>
    </w:p>
    <w:p>
      <w:pPr>
        <w:numPr>
          <w:ilvl w:val="1"/>
          <w:numId w:val="5"/>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pPr>
        <w:numPr>
          <w:ilvl w:val="1"/>
          <w:numId w:val="5"/>
        </w:numPr>
        <w:tabs>
          <w:tab w:val="left" w:pos="1080"/>
        </w:tabs>
        <w:snapToGrid w:val="0"/>
        <w:spacing w:line="360" w:lineRule="auto"/>
        <w:ind w:left="1077" w:hanging="720"/>
        <w:rPr>
          <w:sz w:val="24"/>
        </w:rPr>
      </w:pPr>
      <w:r>
        <w:rPr>
          <w:sz w:val="24"/>
        </w:rPr>
        <w:t>《资格性检查要求》中对格式有要求的，除竞争性磋商文件另有规定外，均为“实质性格式”文件。</w:t>
      </w:r>
    </w:p>
    <w:p>
      <w:pPr>
        <w:numPr>
          <w:ilvl w:val="1"/>
          <w:numId w:val="5"/>
        </w:numPr>
        <w:tabs>
          <w:tab w:val="left" w:pos="1080"/>
        </w:tabs>
        <w:snapToGrid w:val="0"/>
        <w:spacing w:line="360" w:lineRule="auto"/>
        <w:ind w:left="1077" w:hanging="720"/>
        <w:rPr>
          <w:sz w:val="24"/>
        </w:rPr>
      </w:pPr>
      <w:r>
        <w:rPr>
          <w:sz w:val="24"/>
        </w:rPr>
        <w:t>《资格性检查要求》见下表：</w:t>
      </w:r>
    </w:p>
    <w:p>
      <w:pPr>
        <w:tabs>
          <w:tab w:val="left" w:pos="900"/>
          <w:tab w:val="left" w:pos="1080"/>
        </w:tabs>
        <w:snapToGrid w:val="0"/>
        <w:spacing w:line="360" w:lineRule="auto"/>
        <w:ind w:left="1077" w:firstLine="2640" w:firstLineChars="1100"/>
        <w:rPr>
          <w:b/>
          <w:sz w:val="24"/>
        </w:rPr>
      </w:pPr>
      <w:r>
        <w:rPr>
          <w:b/>
          <w:sz w:val="24"/>
        </w:rPr>
        <w:t>资格性检查要求</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1849"/>
        <w:gridCol w:w="5083"/>
        <w:gridCol w:w="2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tabs>
                <w:tab w:val="left" w:pos="1080"/>
              </w:tabs>
              <w:snapToGrid w:val="0"/>
              <w:jc w:val="center"/>
              <w:rPr>
                <w:b/>
                <w:sz w:val="24"/>
              </w:rPr>
            </w:pPr>
            <w:bookmarkStart w:id="607" w:name="_Hlt487972895"/>
            <w:bookmarkEnd w:id="607"/>
            <w:r>
              <w:rPr>
                <w:b/>
                <w:sz w:val="24"/>
              </w:rPr>
              <w:t>序号</w:t>
            </w:r>
          </w:p>
        </w:tc>
        <w:tc>
          <w:tcPr>
            <w:tcW w:w="938" w:type="pct"/>
            <w:vAlign w:val="center"/>
          </w:tcPr>
          <w:p>
            <w:pPr>
              <w:tabs>
                <w:tab w:val="left" w:pos="1080"/>
              </w:tabs>
              <w:snapToGrid w:val="0"/>
              <w:jc w:val="center"/>
              <w:rPr>
                <w:b/>
                <w:sz w:val="24"/>
              </w:rPr>
            </w:pPr>
            <w:r>
              <w:rPr>
                <w:b/>
                <w:sz w:val="24"/>
              </w:rPr>
              <w:t>检查因素</w:t>
            </w:r>
          </w:p>
        </w:tc>
        <w:tc>
          <w:tcPr>
            <w:tcW w:w="2579" w:type="pct"/>
            <w:vAlign w:val="center"/>
          </w:tcPr>
          <w:p>
            <w:pPr>
              <w:tabs>
                <w:tab w:val="left" w:pos="1080"/>
              </w:tabs>
              <w:snapToGrid w:val="0"/>
              <w:jc w:val="center"/>
              <w:rPr>
                <w:b/>
                <w:sz w:val="24"/>
              </w:rPr>
            </w:pPr>
            <w:r>
              <w:rPr>
                <w:b/>
                <w:sz w:val="24"/>
              </w:rPr>
              <w:t>检查内容</w:t>
            </w:r>
          </w:p>
        </w:tc>
        <w:tc>
          <w:tcPr>
            <w:tcW w:w="1028" w:type="pct"/>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w:t>
            </w:r>
          </w:p>
        </w:tc>
        <w:tc>
          <w:tcPr>
            <w:tcW w:w="938" w:type="pct"/>
            <w:vAlign w:val="center"/>
          </w:tcPr>
          <w:p>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pPr>
              <w:tabs>
                <w:tab w:val="left" w:pos="1080"/>
              </w:tabs>
              <w:snapToGrid w:val="0"/>
              <w:jc w:val="left"/>
              <w:rPr>
                <w:sz w:val="24"/>
              </w:rPr>
            </w:pPr>
            <w:r>
              <w:rPr>
                <w:sz w:val="24"/>
              </w:rPr>
              <w:t>具体规定见第一章《采购邀请》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1-1</w:t>
            </w:r>
          </w:p>
        </w:tc>
        <w:tc>
          <w:tcPr>
            <w:tcW w:w="938" w:type="pct"/>
            <w:vAlign w:val="center"/>
          </w:tcPr>
          <w:p>
            <w:pPr>
              <w:tabs>
                <w:tab w:val="left" w:pos="1080"/>
              </w:tabs>
              <w:snapToGrid w:val="0"/>
              <w:jc w:val="left"/>
              <w:rPr>
                <w:sz w:val="24"/>
              </w:rPr>
            </w:pPr>
            <w:r>
              <w:rPr>
                <w:sz w:val="24"/>
              </w:rPr>
              <w:t>营业执照等证明文件</w:t>
            </w:r>
          </w:p>
        </w:tc>
        <w:tc>
          <w:tcPr>
            <w:tcW w:w="2579" w:type="pct"/>
            <w:vAlign w:val="center"/>
          </w:tcPr>
          <w:p>
            <w:pPr>
              <w:tabs>
                <w:tab w:val="left" w:pos="1080"/>
              </w:tabs>
              <w:snapToGrid w:val="0"/>
              <w:jc w:val="left"/>
              <w:rPr>
                <w:sz w:val="24"/>
              </w:rPr>
            </w:pPr>
            <w:r>
              <w:rPr>
                <w:sz w:val="24"/>
              </w:rPr>
              <w:t>供应商为企业（包括合伙企业）的，应提供有效的“营业执照”；</w:t>
            </w:r>
          </w:p>
          <w:p>
            <w:pPr>
              <w:tabs>
                <w:tab w:val="left" w:pos="1080"/>
              </w:tabs>
              <w:snapToGrid w:val="0"/>
              <w:jc w:val="left"/>
              <w:rPr>
                <w:sz w:val="24"/>
              </w:rPr>
            </w:pPr>
            <w:r>
              <w:rPr>
                <w:sz w:val="24"/>
              </w:rPr>
              <w:t>供应商为事业单位的，应提供有效的“事业单位法人证书”；</w:t>
            </w:r>
          </w:p>
          <w:p>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pPr>
              <w:tabs>
                <w:tab w:val="left" w:pos="1080"/>
              </w:tabs>
              <w:snapToGrid w:val="0"/>
              <w:jc w:val="left"/>
              <w:rPr>
                <w:sz w:val="24"/>
              </w:rPr>
            </w:pPr>
            <w:r>
              <w:rPr>
                <w:sz w:val="24"/>
              </w:rPr>
              <w:t>供应商是个体工商户的，应提供有效的“个体工商户营业执照”；</w:t>
            </w:r>
          </w:p>
          <w:p>
            <w:pPr>
              <w:tabs>
                <w:tab w:val="left" w:pos="1080"/>
              </w:tabs>
              <w:snapToGrid w:val="0"/>
              <w:jc w:val="left"/>
              <w:rPr>
                <w:sz w:val="24"/>
              </w:rPr>
            </w:pPr>
            <w:r>
              <w:rPr>
                <w:sz w:val="24"/>
              </w:rPr>
              <w:t>供应商是自然人的，应提供有效的自然人身份证明。</w:t>
            </w:r>
          </w:p>
          <w:p>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pPr>
              <w:tabs>
                <w:tab w:val="left" w:pos="1080"/>
              </w:tabs>
              <w:snapToGrid w:val="0"/>
              <w:jc w:val="left"/>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1-2</w:t>
            </w:r>
          </w:p>
        </w:tc>
        <w:tc>
          <w:tcPr>
            <w:tcW w:w="938" w:type="pct"/>
            <w:vAlign w:val="center"/>
          </w:tcPr>
          <w:p>
            <w:pPr>
              <w:tabs>
                <w:tab w:val="left" w:pos="1080"/>
              </w:tabs>
              <w:snapToGrid w:val="0"/>
              <w:jc w:val="left"/>
              <w:rPr>
                <w:sz w:val="24"/>
              </w:rPr>
            </w:pPr>
            <w:r>
              <w:rPr>
                <w:sz w:val="24"/>
              </w:rPr>
              <w:t>供应商资格声明书</w:t>
            </w:r>
          </w:p>
        </w:tc>
        <w:tc>
          <w:tcPr>
            <w:tcW w:w="2579" w:type="pct"/>
            <w:vAlign w:val="center"/>
          </w:tcPr>
          <w:p>
            <w:pPr>
              <w:tabs>
                <w:tab w:val="left" w:pos="1080"/>
              </w:tabs>
              <w:snapToGrid w:val="0"/>
              <w:jc w:val="left"/>
              <w:rPr>
                <w:sz w:val="24"/>
              </w:rPr>
            </w:pPr>
            <w:r>
              <w:rPr>
                <w:sz w:val="24"/>
              </w:rPr>
              <w:t>提供了符合竞争性磋商文件要求的《供应商资格声明书》。</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1-3</w:t>
            </w:r>
          </w:p>
        </w:tc>
        <w:tc>
          <w:tcPr>
            <w:tcW w:w="938" w:type="pct"/>
            <w:vAlign w:val="center"/>
          </w:tcPr>
          <w:p>
            <w:pPr>
              <w:tabs>
                <w:tab w:val="left" w:pos="1080"/>
              </w:tabs>
              <w:snapToGrid w:val="0"/>
              <w:rPr>
                <w:sz w:val="24"/>
              </w:rPr>
            </w:pPr>
            <w:r>
              <w:rPr>
                <w:sz w:val="24"/>
              </w:rPr>
              <w:t>供应商信用记录</w:t>
            </w:r>
          </w:p>
        </w:tc>
        <w:tc>
          <w:tcPr>
            <w:tcW w:w="2579" w:type="pct"/>
            <w:vAlign w:val="center"/>
          </w:tcPr>
          <w:p>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pPr>
              <w:tabs>
                <w:tab w:val="left" w:pos="1080"/>
              </w:tabs>
              <w:snapToGrid w:val="0"/>
              <w:rPr>
                <w:sz w:val="24"/>
              </w:rPr>
            </w:pPr>
            <w:r>
              <w:rPr>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w:t>
            </w:r>
          </w:p>
        </w:tc>
        <w:tc>
          <w:tcPr>
            <w:tcW w:w="938" w:type="pct"/>
            <w:vAlign w:val="center"/>
          </w:tcPr>
          <w:p>
            <w:pPr>
              <w:tabs>
                <w:tab w:val="left" w:pos="1080"/>
              </w:tabs>
              <w:snapToGrid w:val="0"/>
              <w:jc w:val="left"/>
              <w:rPr>
                <w:sz w:val="24"/>
              </w:rPr>
            </w:pPr>
            <w:r>
              <w:rPr>
                <w:sz w:val="24"/>
              </w:rPr>
              <w:t>落实政府采购政策需满足的资格要求</w:t>
            </w:r>
          </w:p>
        </w:tc>
        <w:tc>
          <w:tcPr>
            <w:tcW w:w="2579" w:type="pct"/>
            <w:vAlign w:val="center"/>
          </w:tcPr>
          <w:p>
            <w:pPr>
              <w:tabs>
                <w:tab w:val="left" w:pos="1080"/>
              </w:tabs>
              <w:snapToGrid w:val="0"/>
              <w:jc w:val="left"/>
              <w:rPr>
                <w:sz w:val="24"/>
              </w:rPr>
            </w:pPr>
            <w:r>
              <w:rPr>
                <w:sz w:val="24"/>
              </w:rPr>
              <w:t>具体要求见第一章《采购邀请》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rPr>
        <w:tc>
          <w:tcPr>
            <w:tcW w:w="455" w:type="pct"/>
            <w:vAlign w:val="center"/>
          </w:tcPr>
          <w:p>
            <w:pPr>
              <w:tabs>
                <w:tab w:val="left" w:pos="1080"/>
              </w:tabs>
              <w:snapToGrid w:val="0"/>
              <w:jc w:val="center"/>
              <w:rPr>
                <w:sz w:val="24"/>
              </w:rPr>
            </w:pPr>
            <w:r>
              <w:rPr>
                <w:sz w:val="24"/>
              </w:rPr>
              <w:t>2-1</w:t>
            </w:r>
          </w:p>
        </w:tc>
        <w:tc>
          <w:tcPr>
            <w:tcW w:w="938" w:type="pct"/>
            <w:vAlign w:val="center"/>
          </w:tcPr>
          <w:p>
            <w:pPr>
              <w:tabs>
                <w:tab w:val="left" w:pos="1080"/>
              </w:tabs>
              <w:snapToGrid w:val="0"/>
              <w:jc w:val="left"/>
              <w:rPr>
                <w:sz w:val="24"/>
              </w:rPr>
            </w:pPr>
            <w:r>
              <w:rPr>
                <w:sz w:val="24"/>
              </w:rPr>
              <w:t>中小企业声明函</w:t>
            </w:r>
            <w:r>
              <w:rPr>
                <w:rFonts w:hint="eastAsia"/>
                <w:b/>
                <w:bCs/>
                <w:sz w:val="24"/>
              </w:rPr>
              <w:t>（</w:t>
            </w:r>
            <w:r>
              <w:rPr>
                <w:b/>
                <w:bCs/>
                <w:sz w:val="24"/>
              </w:rPr>
              <w:t>本项目不专门面向中小企业预留采购份额</w:t>
            </w:r>
            <w:r>
              <w:rPr>
                <w:rFonts w:hint="eastAsia"/>
                <w:b/>
                <w:bCs/>
                <w:sz w:val="24"/>
              </w:rPr>
              <w:t>）</w:t>
            </w:r>
          </w:p>
        </w:tc>
        <w:tc>
          <w:tcPr>
            <w:tcW w:w="2579" w:type="pct"/>
            <w:vAlign w:val="center"/>
          </w:tcPr>
          <w:p>
            <w:pPr>
              <w:tabs>
                <w:tab w:val="left" w:pos="1080"/>
              </w:tabs>
              <w:snapToGrid w:val="0"/>
              <w:jc w:val="left"/>
              <w:rPr>
                <w:sz w:val="24"/>
              </w:rPr>
            </w:pPr>
            <w:r>
              <w:rPr>
                <w:sz w:val="24"/>
              </w:rPr>
              <w:t xml:space="preserve">当本项目（包）涉及预留份额专门面向中小企业采购，提供如下资料： </w:t>
            </w:r>
          </w:p>
          <w:p>
            <w:pPr>
              <w:tabs>
                <w:tab w:val="left" w:pos="1080"/>
              </w:tabs>
              <w:snapToGrid w:val="0"/>
              <w:jc w:val="left"/>
              <w:rPr>
                <w:sz w:val="24"/>
              </w:rPr>
            </w:pPr>
            <w:r>
              <w:rPr>
                <w:sz w:val="24"/>
              </w:rPr>
              <w:t>1、供应商单独响应的，应提供中小企业声明函；如为监狱企业或残疾人福利性单位，不必提供中小企业声明函，但须按注1或注2要求提供证明材料。</w:t>
            </w:r>
          </w:p>
          <w:p>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tabs>
                <w:tab w:val="left" w:pos="1080"/>
              </w:tabs>
              <w:snapToGrid w:val="0"/>
              <w:jc w:val="left"/>
              <w:rPr>
                <w:sz w:val="24"/>
              </w:rPr>
            </w:pPr>
          </w:p>
          <w:p>
            <w:pPr>
              <w:tabs>
                <w:tab w:val="left" w:pos="1080"/>
              </w:tabs>
              <w:snapToGrid w:val="0"/>
              <w:jc w:val="left"/>
              <w:rPr>
                <w:sz w:val="24"/>
              </w:rPr>
            </w:pPr>
            <w:r>
              <w:rPr>
                <w:sz w:val="24"/>
              </w:rPr>
              <w:t>注1：监狱企业须提供由省级以上监狱管理局（北京市含教育矫治局）、戒毒管理局（含新疆生产建设兵团）出具的属于监狱企业的证明文件。</w:t>
            </w:r>
          </w:p>
          <w:p>
            <w:pPr>
              <w:tabs>
                <w:tab w:val="left" w:pos="1080"/>
              </w:tabs>
              <w:snapToGrid w:val="0"/>
              <w:jc w:val="left"/>
              <w:rPr>
                <w:sz w:val="24"/>
              </w:rPr>
            </w:pPr>
            <w:r>
              <w:rPr>
                <w:sz w:val="24"/>
              </w:rPr>
              <w:t>注2：残疾人福利性单位须按磋商文件要求提供《残疾人福利性单位声明函》。</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2-1-1</w:t>
            </w:r>
          </w:p>
        </w:tc>
        <w:tc>
          <w:tcPr>
            <w:tcW w:w="938" w:type="pct"/>
            <w:vAlign w:val="center"/>
          </w:tcPr>
          <w:p>
            <w:pPr>
              <w:tabs>
                <w:tab w:val="left" w:pos="1080"/>
              </w:tabs>
              <w:snapToGrid w:val="0"/>
              <w:jc w:val="left"/>
              <w:rPr>
                <w:sz w:val="24"/>
              </w:rPr>
            </w:pPr>
            <w:r>
              <w:rPr>
                <w:sz w:val="24"/>
              </w:rPr>
              <w:t>拟分包情况说明及分包意向协议（类型一）</w:t>
            </w:r>
            <w:r>
              <w:rPr>
                <w:rFonts w:hint="eastAsia"/>
                <w:b/>
                <w:bCs/>
                <w:sz w:val="24"/>
              </w:rPr>
              <w:t>（本项目不适用）</w:t>
            </w:r>
          </w:p>
        </w:tc>
        <w:tc>
          <w:tcPr>
            <w:tcW w:w="2579" w:type="pct"/>
            <w:vAlign w:val="center"/>
          </w:tcPr>
          <w:p>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2-2</w:t>
            </w:r>
          </w:p>
        </w:tc>
        <w:tc>
          <w:tcPr>
            <w:tcW w:w="938" w:type="pct"/>
            <w:vAlign w:val="center"/>
          </w:tcPr>
          <w:p>
            <w:pPr>
              <w:tabs>
                <w:tab w:val="left" w:pos="1080"/>
              </w:tabs>
              <w:snapToGrid w:val="0"/>
              <w:jc w:val="left"/>
              <w:rPr>
                <w:sz w:val="24"/>
              </w:rPr>
            </w:pPr>
            <w:r>
              <w:rPr>
                <w:sz w:val="24"/>
              </w:rPr>
              <w:t>其它落实政府采购政策的资格要求</w:t>
            </w:r>
          </w:p>
        </w:tc>
        <w:tc>
          <w:tcPr>
            <w:tcW w:w="2579" w:type="pct"/>
            <w:vAlign w:val="center"/>
          </w:tcPr>
          <w:p>
            <w:pPr>
              <w:pStyle w:val="23"/>
              <w:spacing w:line="360" w:lineRule="auto"/>
              <w:jc w:val="left"/>
              <w:rPr>
                <w:rFonts w:hint="default"/>
                <w:sz w:val="24"/>
              </w:rPr>
            </w:pPr>
            <w:r>
              <w:rPr>
                <w:rFonts w:hAnsi="宋体"/>
                <w:sz w:val="24"/>
                <w:szCs w:val="24"/>
              </w:rPr>
              <w:t>环保专项承诺</w:t>
            </w:r>
          </w:p>
        </w:tc>
        <w:tc>
          <w:tcPr>
            <w:tcW w:w="1028" w:type="pct"/>
            <w:vAlign w:val="center"/>
          </w:tcPr>
          <w:p>
            <w:pPr>
              <w:tabs>
                <w:tab w:val="left" w:pos="1080"/>
              </w:tabs>
              <w:snapToGrid w:val="0"/>
              <w:jc w:val="left"/>
              <w:rPr>
                <w:sz w:val="24"/>
              </w:rPr>
            </w:pPr>
            <w:r>
              <w:rPr>
                <w:sz w:val="24"/>
              </w:rPr>
              <w:t>提供</w:t>
            </w:r>
            <w:r>
              <w:rPr>
                <w:rFonts w:hint="eastAsia"/>
                <w:sz w:val="24"/>
              </w:rPr>
              <w:t>承诺函</w:t>
            </w:r>
            <w:r>
              <w:rPr>
                <w:sz w:val="24"/>
              </w:rPr>
              <w:t>并</w:t>
            </w:r>
            <w:r>
              <w:rPr>
                <w:rFonts w:hint="eastAsia"/>
                <w:sz w:val="24"/>
              </w:rPr>
              <w:t>签字、</w:t>
            </w:r>
            <w:r>
              <w:rPr>
                <w:sz w:val="24"/>
              </w:rPr>
              <w:t>加盖公章</w:t>
            </w:r>
          </w:p>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w:t>
            </w:r>
          </w:p>
        </w:tc>
        <w:tc>
          <w:tcPr>
            <w:tcW w:w="938" w:type="pct"/>
            <w:vAlign w:val="center"/>
          </w:tcPr>
          <w:p>
            <w:pPr>
              <w:tabs>
                <w:tab w:val="left" w:pos="1080"/>
              </w:tabs>
              <w:snapToGrid w:val="0"/>
              <w:jc w:val="left"/>
              <w:rPr>
                <w:sz w:val="24"/>
              </w:rPr>
            </w:pPr>
            <w:r>
              <w:rPr>
                <w:sz w:val="24"/>
              </w:rPr>
              <w:t>本项目的特定资格要求</w:t>
            </w:r>
            <w:r>
              <w:rPr>
                <w:rFonts w:hint="eastAsia"/>
                <w:b/>
                <w:bCs/>
                <w:sz w:val="24"/>
              </w:rPr>
              <w:t>（本项目不适用）</w:t>
            </w:r>
          </w:p>
        </w:tc>
        <w:tc>
          <w:tcPr>
            <w:tcW w:w="2579" w:type="pct"/>
            <w:vAlign w:val="center"/>
          </w:tcPr>
          <w:p>
            <w:pPr>
              <w:tabs>
                <w:tab w:val="left" w:pos="1080"/>
              </w:tabs>
              <w:snapToGrid w:val="0"/>
              <w:jc w:val="left"/>
              <w:rPr>
                <w:sz w:val="24"/>
              </w:rPr>
            </w:pPr>
            <w:r>
              <w:rPr>
                <w:sz w:val="24"/>
              </w:rPr>
              <w:t>如有，见第一章《采购邀请》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3-1</w:t>
            </w:r>
          </w:p>
        </w:tc>
        <w:tc>
          <w:tcPr>
            <w:tcW w:w="938" w:type="pct"/>
            <w:vAlign w:val="center"/>
          </w:tcPr>
          <w:p>
            <w:pPr>
              <w:tabs>
                <w:tab w:val="left" w:pos="1080"/>
              </w:tabs>
              <w:snapToGrid w:val="0"/>
              <w:rPr>
                <w:sz w:val="24"/>
              </w:rPr>
            </w:pPr>
            <w:r>
              <w:rPr>
                <w:sz w:val="24"/>
              </w:rPr>
              <w:t>是否接受联合体</w:t>
            </w:r>
          </w:p>
        </w:tc>
        <w:tc>
          <w:tcPr>
            <w:tcW w:w="2579" w:type="pct"/>
            <w:vAlign w:val="center"/>
          </w:tcPr>
          <w:p>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pPr>
              <w:tabs>
                <w:tab w:val="left" w:pos="1080"/>
              </w:tabs>
              <w:snapToGrid w:val="0"/>
              <w:rPr>
                <w:sz w:val="24"/>
              </w:rPr>
            </w:pPr>
            <w:r>
              <w:rPr>
                <w:sz w:val="24"/>
              </w:rPr>
              <w:t>2、联合体各成员单位均须提供本表中序号1-1、1-2的证明文件。</w:t>
            </w:r>
          </w:p>
          <w:p>
            <w:pPr>
              <w:tabs>
                <w:tab w:val="left" w:pos="1080"/>
              </w:tabs>
              <w:snapToGrid w:val="0"/>
              <w:rPr>
                <w:sz w:val="24"/>
              </w:rPr>
            </w:pPr>
            <w:r>
              <w:rPr>
                <w:sz w:val="24"/>
              </w:rPr>
              <w:t>3、本表序号3-2项规定的其他特定资格要求中的每一小项要求，联合体各方中至少应当有一方符合本表中其他资格要求并提供证明文件。</w:t>
            </w:r>
          </w:p>
          <w:p>
            <w:pPr>
              <w:tabs>
                <w:tab w:val="left" w:pos="1080"/>
              </w:tabs>
              <w:snapToGrid w:val="0"/>
              <w:rPr>
                <w:sz w:val="24"/>
              </w:rPr>
            </w:pPr>
            <w:r>
              <w:rPr>
                <w:sz w:val="24"/>
              </w:rPr>
              <w:t>4、联合体中有同类资质的供应商按照联合体分工承担相同工作的，应当按照资质等级较低的供应商确定资质等级。</w:t>
            </w:r>
          </w:p>
          <w:p>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pPr>
              <w:tabs>
                <w:tab w:val="left" w:pos="1080"/>
              </w:tabs>
              <w:snapToGrid w:val="0"/>
              <w:rPr>
                <w:sz w:val="24"/>
              </w:rPr>
            </w:pPr>
            <w:r>
              <w:rPr>
                <w:sz w:val="24"/>
              </w:rPr>
              <w:t>6、若联合体中任一成员单位中途退出，则该联合体的</w:t>
            </w:r>
            <w:r>
              <w:rPr>
                <w:b/>
                <w:sz w:val="24"/>
              </w:rPr>
              <w:t>响应无效</w:t>
            </w:r>
            <w:r>
              <w:rPr>
                <w:sz w:val="24"/>
              </w:rPr>
              <w:t>。</w:t>
            </w:r>
          </w:p>
          <w:p>
            <w:pPr>
              <w:tabs>
                <w:tab w:val="left" w:pos="1080"/>
              </w:tabs>
              <w:snapToGrid w:val="0"/>
              <w:rPr>
                <w:sz w:val="24"/>
              </w:rPr>
            </w:pPr>
            <w:r>
              <w:rPr>
                <w:sz w:val="24"/>
              </w:rPr>
              <w:t xml:space="preserve">7、本项目不接受联合体响应时，供应商不得为联合体。 </w:t>
            </w:r>
          </w:p>
        </w:tc>
        <w:tc>
          <w:tcPr>
            <w:tcW w:w="1028" w:type="pct"/>
            <w:vAlign w:val="center"/>
          </w:tcPr>
          <w:p>
            <w:pPr>
              <w:tabs>
                <w:tab w:val="left" w:pos="1080"/>
              </w:tabs>
              <w:snapToGrid w:val="0"/>
              <w:rPr>
                <w:sz w:val="24"/>
              </w:rPr>
            </w:pPr>
            <w:r>
              <w:rPr>
                <w:sz w:val="24"/>
              </w:rPr>
              <w:t>提供《联合协议》</w:t>
            </w:r>
            <w:r>
              <w:rPr>
                <w:rFonts w:hint="eastAsia"/>
                <w:sz w:val="24"/>
              </w:rPr>
              <w:t>原</w:t>
            </w:r>
            <w:r>
              <w:rPr>
                <w:sz w:val="24"/>
              </w:rPr>
              <w:t>件或复印件并加盖公章</w:t>
            </w:r>
          </w:p>
          <w:p>
            <w:pPr>
              <w:tabs>
                <w:tab w:val="left" w:pos="1080"/>
              </w:tabs>
              <w:snapToGrid w:val="0"/>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3-2</w:t>
            </w:r>
          </w:p>
        </w:tc>
        <w:tc>
          <w:tcPr>
            <w:tcW w:w="938" w:type="pct"/>
            <w:vAlign w:val="center"/>
          </w:tcPr>
          <w:p>
            <w:pPr>
              <w:tabs>
                <w:tab w:val="left" w:pos="1080"/>
              </w:tabs>
              <w:snapToGrid w:val="0"/>
              <w:rPr>
                <w:sz w:val="24"/>
              </w:rPr>
            </w:pPr>
            <w:r>
              <w:rPr>
                <w:sz w:val="24"/>
              </w:rPr>
              <w:t>其他特定资格要求</w:t>
            </w:r>
          </w:p>
        </w:tc>
        <w:tc>
          <w:tcPr>
            <w:tcW w:w="2579" w:type="pct"/>
            <w:vAlign w:val="center"/>
          </w:tcPr>
          <w:p>
            <w:pPr>
              <w:tabs>
                <w:tab w:val="left" w:pos="1080"/>
              </w:tabs>
              <w:snapToGrid w:val="0"/>
              <w:rPr>
                <w:sz w:val="24"/>
              </w:rPr>
            </w:pPr>
            <w:r>
              <w:rPr>
                <w:color w:val="000000"/>
                <w:sz w:val="24"/>
              </w:rPr>
              <w:t>如有，见</w:t>
            </w:r>
            <w:r>
              <w:rPr>
                <w:sz w:val="24"/>
              </w:rPr>
              <w:t>第一章《采购邀请》</w:t>
            </w:r>
          </w:p>
        </w:tc>
        <w:tc>
          <w:tcPr>
            <w:tcW w:w="1028" w:type="pct"/>
            <w:vAlign w:val="center"/>
          </w:tcPr>
          <w:p>
            <w:pPr>
              <w:tabs>
                <w:tab w:val="left" w:pos="1080"/>
              </w:tabs>
              <w:snapToGrid w:val="0"/>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4</w:t>
            </w:r>
          </w:p>
        </w:tc>
        <w:tc>
          <w:tcPr>
            <w:tcW w:w="938" w:type="pct"/>
            <w:vAlign w:val="center"/>
          </w:tcPr>
          <w:p>
            <w:pPr>
              <w:tabs>
                <w:tab w:val="left" w:pos="1080"/>
              </w:tabs>
              <w:snapToGrid w:val="0"/>
              <w:rPr>
                <w:sz w:val="24"/>
              </w:rPr>
            </w:pPr>
            <w:r>
              <w:rPr>
                <w:color w:val="000000"/>
                <w:kern w:val="0"/>
                <w:sz w:val="24"/>
              </w:rPr>
              <w:t>磋商保证金</w:t>
            </w:r>
          </w:p>
        </w:tc>
        <w:tc>
          <w:tcPr>
            <w:tcW w:w="2579" w:type="pct"/>
            <w:vAlign w:val="center"/>
          </w:tcPr>
          <w:p>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pPr>
              <w:tabs>
                <w:tab w:val="left" w:pos="1080"/>
              </w:tabs>
              <w:snapToGrid w:val="0"/>
              <w:rPr>
                <w:sz w:val="24"/>
              </w:rPr>
            </w:pPr>
          </w:p>
        </w:tc>
      </w:tr>
    </w:tbl>
    <w:p>
      <w:pPr>
        <w:widowControl/>
        <w:jc w:val="left"/>
        <w:rPr>
          <w:sz w:val="24"/>
        </w:rPr>
      </w:pPr>
      <w:r>
        <w:rPr>
          <w:sz w:val="24"/>
        </w:rPr>
        <w:br w:type="page"/>
      </w:r>
    </w:p>
    <w:p>
      <w:pPr>
        <w:numPr>
          <w:ilvl w:val="1"/>
          <w:numId w:val="5"/>
        </w:numPr>
        <w:tabs>
          <w:tab w:val="left" w:pos="1080"/>
        </w:tabs>
        <w:snapToGrid w:val="0"/>
        <w:spacing w:line="360" w:lineRule="auto"/>
        <w:ind w:left="1077" w:hanging="720"/>
        <w:rPr>
          <w:sz w:val="24"/>
        </w:rPr>
      </w:pPr>
      <w:r>
        <w:rPr>
          <w:sz w:val="24"/>
        </w:rPr>
        <w:t>《符合性审查要求》见下表：</w:t>
      </w:r>
    </w:p>
    <w:p>
      <w:pPr>
        <w:widowControl/>
        <w:spacing w:line="360" w:lineRule="auto"/>
        <w:jc w:val="center"/>
        <w:rPr>
          <w:b/>
          <w:color w:val="000000"/>
          <w:kern w:val="0"/>
          <w:sz w:val="24"/>
        </w:rPr>
      </w:pPr>
      <w:r>
        <w:rPr>
          <w:b/>
          <w:color w:val="000000"/>
          <w:kern w:val="0"/>
          <w:sz w:val="24"/>
        </w:rPr>
        <w:t>符合性审查要求</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012"/>
        <w:gridCol w:w="4848"/>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b/>
                <w:color w:val="000000"/>
                <w:kern w:val="0"/>
                <w:sz w:val="24"/>
              </w:rPr>
            </w:pPr>
            <w:r>
              <w:rPr>
                <w:b/>
                <w:color w:val="000000"/>
                <w:kern w:val="0"/>
                <w:sz w:val="24"/>
              </w:rPr>
              <w:t>序号</w:t>
            </w:r>
          </w:p>
        </w:tc>
        <w:tc>
          <w:tcPr>
            <w:tcW w:w="1021" w:type="pct"/>
            <w:shd w:val="clear" w:color="000000" w:fill="FFFFFF"/>
            <w:vAlign w:val="center"/>
          </w:tcPr>
          <w:p>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pPr>
              <w:widowControl/>
              <w:jc w:val="center"/>
              <w:rPr>
                <w:b/>
                <w:color w:val="000000"/>
                <w:kern w:val="0"/>
                <w:sz w:val="24"/>
              </w:rPr>
            </w:pPr>
            <w:r>
              <w:rPr>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授权委托书</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是否按照磋商文件规定，提供符合要求的授权委托书</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pPr>
              <w:widowControl/>
              <w:jc w:val="center"/>
              <w:rPr>
                <w:color w:val="000000"/>
                <w:kern w:val="0"/>
                <w:sz w:val="24"/>
              </w:rPr>
            </w:pPr>
            <w:r>
              <w:rPr>
                <w:rFonts w:hint="eastAsia" w:ascii="宋体" w:hAnsi="宋体" w:cs="宋体"/>
                <w:color w:val="000000"/>
                <w:kern w:val="0"/>
                <w:sz w:val="24"/>
              </w:rPr>
              <w:t>★</w:t>
            </w:r>
            <w:r>
              <w:rPr>
                <w:rFonts w:hint="eastAsia"/>
                <w:color w:val="000000"/>
                <w:kern w:val="0"/>
                <w:sz w:val="24"/>
              </w:rPr>
              <w:t>号条款响应</w:t>
            </w:r>
          </w:p>
        </w:tc>
        <w:tc>
          <w:tcPr>
            <w:tcW w:w="2460" w:type="pct"/>
            <w:shd w:val="clear" w:color="000000" w:fill="FFFFFF"/>
            <w:vAlign w:val="center"/>
          </w:tcPr>
          <w:p>
            <w:pPr>
              <w:widowControl/>
              <w:jc w:val="center"/>
              <w:rPr>
                <w:color w:val="000000"/>
                <w:kern w:val="0"/>
                <w:sz w:val="24"/>
              </w:rPr>
            </w:pPr>
          </w:p>
          <w:p>
            <w:pPr>
              <w:widowControl/>
              <w:jc w:val="center"/>
              <w:rPr>
                <w:color w:val="000000"/>
                <w:kern w:val="0"/>
                <w:sz w:val="24"/>
              </w:rPr>
            </w:pPr>
            <w:r>
              <w:rPr>
                <w:rFonts w:hint="eastAsia"/>
                <w:color w:val="000000"/>
                <w:kern w:val="0"/>
                <w:sz w:val="24"/>
              </w:rPr>
              <w:t>响应文件满足磋商文件第四章《采购需求》中★号条款要求的</w:t>
            </w:r>
          </w:p>
          <w:p>
            <w:pPr>
              <w:widowControl/>
              <w:jc w:val="center"/>
              <w:rPr>
                <w:color w:val="000000"/>
                <w:kern w:val="0"/>
                <w:sz w:val="24"/>
              </w:rPr>
            </w:pPr>
          </w:p>
        </w:tc>
        <w:tc>
          <w:tcPr>
            <w:tcW w:w="1073" w:type="pct"/>
            <w:shd w:val="clear" w:color="000000" w:fill="FFFFFF"/>
            <w:vAlign w:val="center"/>
          </w:tcPr>
          <w:p>
            <w:pPr>
              <w:widowControl/>
              <w:jc w:val="center"/>
              <w:rPr>
                <w:color w:val="000000"/>
                <w:kern w:val="0"/>
                <w:sz w:val="24"/>
              </w:rPr>
            </w:pPr>
            <w:r>
              <w:rPr>
                <w:rFonts w:hint="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7</w:t>
            </w:r>
          </w:p>
        </w:tc>
        <w:tc>
          <w:tcPr>
            <w:tcW w:w="1021" w:type="pct"/>
            <w:shd w:val="clear" w:color="000000" w:fill="FFFFFF"/>
            <w:vAlign w:val="center"/>
          </w:tcPr>
          <w:p>
            <w:pPr>
              <w:widowControl/>
              <w:jc w:val="left"/>
              <w:rPr>
                <w:color w:val="000000"/>
                <w:kern w:val="0"/>
                <w:sz w:val="24"/>
              </w:rPr>
            </w:pPr>
            <w:r>
              <w:rPr>
                <w:rFonts w:hint="eastAsia" w:ascii="宋体" w:hAnsi="宋体" w:cs="宋体"/>
                <w:color w:val="000000"/>
                <w:kern w:val="0"/>
                <w:sz w:val="24"/>
                <w:lang w:bidi="ar"/>
              </w:rPr>
              <w:t>其他无效情形</w:t>
            </w:r>
          </w:p>
        </w:tc>
        <w:tc>
          <w:tcPr>
            <w:tcW w:w="2460" w:type="pct"/>
            <w:shd w:val="clear" w:color="000000" w:fill="FFFFFF"/>
            <w:vAlign w:val="center"/>
          </w:tcPr>
          <w:p>
            <w:pPr>
              <w:widowControl/>
              <w:jc w:val="center"/>
              <w:rPr>
                <w:rFonts w:ascii="宋体" w:hAnsi="宋体" w:cs="宋体"/>
                <w:color w:val="000000"/>
                <w:kern w:val="0"/>
                <w:sz w:val="24"/>
                <w:lang w:bidi="ar"/>
              </w:rPr>
            </w:pPr>
          </w:p>
          <w:p>
            <w:pPr>
              <w:widowControl/>
              <w:jc w:val="center"/>
            </w:pPr>
            <w:r>
              <w:rPr>
                <w:rFonts w:hint="eastAsia" w:ascii="宋体" w:hAnsi="宋体" w:cs="宋体"/>
                <w:color w:val="000000"/>
                <w:kern w:val="0"/>
                <w:sz w:val="24"/>
                <w:lang w:bidi="ar"/>
              </w:rPr>
              <w:t>供应商、响应文件不存在不符合法律、法规和磋商文件规定的其他无效情形</w:t>
            </w:r>
          </w:p>
          <w:p>
            <w:pPr>
              <w:widowControl/>
              <w:jc w:val="center"/>
              <w:rPr>
                <w:color w:val="000000"/>
                <w:kern w:val="0"/>
                <w:sz w:val="24"/>
              </w:rPr>
            </w:pPr>
          </w:p>
        </w:tc>
        <w:tc>
          <w:tcPr>
            <w:tcW w:w="1073" w:type="pct"/>
            <w:shd w:val="clear" w:color="000000" w:fill="FFFFFF"/>
            <w:vAlign w:val="center"/>
          </w:tcPr>
          <w:p>
            <w:pPr>
              <w:widowControl/>
              <w:jc w:val="center"/>
              <w:rPr>
                <w:color w:val="000000"/>
                <w:kern w:val="0"/>
                <w:sz w:val="24"/>
              </w:rPr>
            </w:pPr>
            <w:r>
              <w:rPr>
                <w:rFonts w:hint="eastAsia"/>
                <w:color w:val="000000"/>
                <w:kern w:val="0"/>
                <w:sz w:val="24"/>
              </w:rPr>
              <w:t>否</w:t>
            </w:r>
          </w:p>
        </w:tc>
      </w:tr>
    </w:tbl>
    <w:p>
      <w:pPr>
        <w:tabs>
          <w:tab w:val="left" w:pos="900"/>
          <w:tab w:val="left" w:pos="1080"/>
          <w:tab w:val="left" w:pos="1589"/>
        </w:tabs>
        <w:snapToGrid w:val="0"/>
        <w:spacing w:line="360" w:lineRule="auto"/>
        <w:rPr>
          <w:sz w:val="24"/>
        </w:rPr>
      </w:pPr>
    </w:p>
    <w:p>
      <w:pPr>
        <w:numPr>
          <w:ilvl w:val="0"/>
          <w:numId w:val="5"/>
        </w:numPr>
        <w:tabs>
          <w:tab w:val="left" w:pos="360"/>
        </w:tabs>
        <w:snapToGrid w:val="0"/>
        <w:spacing w:line="360" w:lineRule="auto"/>
        <w:outlineLvl w:val="1"/>
        <w:rPr>
          <w:sz w:val="24"/>
        </w:rPr>
      </w:pPr>
      <w:r>
        <w:rPr>
          <w:sz w:val="24"/>
        </w:rPr>
        <w:t>磋商、响应文件有关事项的澄清、说明或者更正和最后报价</w:t>
      </w:r>
    </w:p>
    <w:p>
      <w:pPr>
        <w:numPr>
          <w:ilvl w:val="1"/>
          <w:numId w:val="5"/>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pPr>
        <w:numPr>
          <w:ilvl w:val="1"/>
          <w:numId w:val="5"/>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5"/>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pPr>
        <w:numPr>
          <w:ilvl w:val="1"/>
          <w:numId w:val="5"/>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pPr>
        <w:numPr>
          <w:ilvl w:val="1"/>
          <w:numId w:val="5"/>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pPr>
        <w:numPr>
          <w:ilvl w:val="2"/>
          <w:numId w:val="5"/>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5"/>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pPr>
        <w:numPr>
          <w:ilvl w:val="2"/>
          <w:numId w:val="5"/>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pPr>
        <w:numPr>
          <w:ilvl w:val="1"/>
          <w:numId w:val="5"/>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pPr>
        <w:numPr>
          <w:ilvl w:val="1"/>
          <w:numId w:val="5"/>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5"/>
        </w:numPr>
        <w:tabs>
          <w:tab w:val="left" w:pos="1080"/>
          <w:tab w:val="left" w:pos="1872"/>
        </w:tabs>
        <w:snapToGrid w:val="0"/>
        <w:spacing w:line="360" w:lineRule="auto"/>
        <w:ind w:left="1077" w:hanging="720"/>
        <w:rPr>
          <w:sz w:val="24"/>
        </w:rPr>
      </w:pPr>
      <w:r>
        <w:rPr>
          <w:sz w:val="24"/>
        </w:rPr>
        <w:t>最后报价是供应商响应文件的有效组成部分。</w:t>
      </w:r>
    </w:p>
    <w:p>
      <w:pPr>
        <w:numPr>
          <w:ilvl w:val="1"/>
          <w:numId w:val="5"/>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pPr>
        <w:numPr>
          <w:ilvl w:val="0"/>
          <w:numId w:val="5"/>
        </w:numPr>
        <w:tabs>
          <w:tab w:val="left" w:pos="360"/>
        </w:tabs>
        <w:snapToGrid w:val="0"/>
        <w:spacing w:line="360" w:lineRule="auto"/>
        <w:outlineLvl w:val="1"/>
        <w:rPr>
          <w:sz w:val="24"/>
        </w:rPr>
      </w:pPr>
      <w:r>
        <w:rPr>
          <w:sz w:val="24"/>
        </w:rPr>
        <w:t>最后报价的算术修正及政策调整</w:t>
      </w:r>
    </w:p>
    <w:p>
      <w:pPr>
        <w:numPr>
          <w:ilvl w:val="1"/>
          <w:numId w:val="5"/>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pPr>
        <w:numPr>
          <w:ilvl w:val="1"/>
          <w:numId w:val="5"/>
        </w:numPr>
        <w:tabs>
          <w:tab w:val="left" w:pos="1080"/>
          <w:tab w:val="left" w:pos="1872"/>
        </w:tabs>
        <w:snapToGrid w:val="0"/>
        <w:spacing w:line="360" w:lineRule="auto"/>
        <w:ind w:left="1077" w:hanging="720"/>
        <w:rPr>
          <w:sz w:val="24"/>
        </w:rPr>
      </w:pPr>
      <w:r>
        <w:rPr>
          <w:sz w:val="24"/>
        </w:rPr>
        <w:t>最后报价出现前后不一致的，按照下列规定修正：</w:t>
      </w:r>
    </w:p>
    <w:p>
      <w:pPr>
        <w:numPr>
          <w:ilvl w:val="2"/>
          <w:numId w:val="5"/>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无，按下述3.2.2-3.2.5项规定修正。</w:t>
      </w:r>
    </w:p>
    <w:p>
      <w:pPr>
        <w:numPr>
          <w:ilvl w:val="2"/>
          <w:numId w:val="5"/>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pPr>
        <w:numPr>
          <w:ilvl w:val="2"/>
          <w:numId w:val="5"/>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pPr>
        <w:numPr>
          <w:ilvl w:val="2"/>
          <w:numId w:val="5"/>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pPr>
        <w:numPr>
          <w:ilvl w:val="2"/>
          <w:numId w:val="5"/>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pPr>
        <w:numPr>
          <w:ilvl w:val="1"/>
          <w:numId w:val="5"/>
        </w:numPr>
        <w:tabs>
          <w:tab w:val="left" w:pos="1080"/>
          <w:tab w:val="left" w:pos="1872"/>
        </w:tabs>
        <w:snapToGrid w:val="0"/>
        <w:spacing w:line="360" w:lineRule="auto"/>
        <w:ind w:left="1077" w:hanging="720"/>
        <w:rPr>
          <w:sz w:val="24"/>
        </w:rPr>
      </w:pPr>
      <w:r>
        <w:rPr>
          <w:sz w:val="24"/>
        </w:rPr>
        <w:t>落实政府采购政策的价格调整：只有符合第二章《供应商须知》4.2条规定情形的，可以享受中小企业扶持政策，用扣除后的价格参加评审；否则，评审时价格不予扣除。</w:t>
      </w:r>
    </w:p>
    <w:p>
      <w:pPr>
        <w:numPr>
          <w:ilvl w:val="2"/>
          <w:numId w:val="5"/>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%的扣除，用扣除后的价格参加评审。</w:t>
      </w:r>
    </w:p>
    <w:p>
      <w:pPr>
        <w:numPr>
          <w:ilvl w:val="2"/>
          <w:numId w:val="5"/>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%的扣除，用扣除后的价格参加评审。</w:t>
      </w:r>
    </w:p>
    <w:p>
      <w:pPr>
        <w:numPr>
          <w:ilvl w:val="2"/>
          <w:numId w:val="5"/>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pPr>
        <w:numPr>
          <w:ilvl w:val="2"/>
          <w:numId w:val="5"/>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pPr>
        <w:numPr>
          <w:ilvl w:val="2"/>
          <w:numId w:val="5"/>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pPr>
        <w:numPr>
          <w:ilvl w:val="2"/>
          <w:numId w:val="5"/>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pPr>
        <w:numPr>
          <w:ilvl w:val="2"/>
          <w:numId w:val="5"/>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pPr>
        <w:numPr>
          <w:ilvl w:val="2"/>
          <w:numId w:val="5"/>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pPr>
        <w:numPr>
          <w:ilvl w:val="2"/>
          <w:numId w:val="5"/>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pPr>
        <w:numPr>
          <w:ilvl w:val="0"/>
          <w:numId w:val="5"/>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pPr>
        <w:numPr>
          <w:ilvl w:val="1"/>
          <w:numId w:val="5"/>
        </w:numPr>
        <w:tabs>
          <w:tab w:val="left" w:pos="1080"/>
        </w:tabs>
        <w:snapToGrid w:val="0"/>
        <w:spacing w:line="360" w:lineRule="auto"/>
        <w:ind w:left="1077" w:hanging="720"/>
        <w:rPr>
          <w:sz w:val="24"/>
        </w:rPr>
      </w:pPr>
      <w:r>
        <w:rPr>
          <w:sz w:val="24"/>
        </w:rPr>
        <w:t>供应商对实质性变动不予确认的；</w:t>
      </w:r>
    </w:p>
    <w:p>
      <w:pPr>
        <w:numPr>
          <w:ilvl w:val="1"/>
          <w:numId w:val="5"/>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pPr>
        <w:numPr>
          <w:ilvl w:val="1"/>
          <w:numId w:val="5"/>
        </w:numPr>
        <w:tabs>
          <w:tab w:val="left" w:pos="1080"/>
        </w:tabs>
        <w:snapToGrid w:val="0"/>
        <w:spacing w:line="360" w:lineRule="auto"/>
        <w:ind w:left="1077" w:hanging="720"/>
        <w:rPr>
          <w:sz w:val="24"/>
        </w:rPr>
      </w:pPr>
      <w:r>
        <w:rPr>
          <w:sz w:val="24"/>
        </w:rPr>
        <w:t>未按照磋商小组规定的时间、逾期提交最后报价的；</w:t>
      </w:r>
    </w:p>
    <w:p>
      <w:pPr>
        <w:numPr>
          <w:ilvl w:val="1"/>
          <w:numId w:val="5"/>
        </w:numPr>
        <w:tabs>
          <w:tab w:val="left" w:pos="1080"/>
        </w:tabs>
        <w:snapToGrid w:val="0"/>
        <w:spacing w:line="360" w:lineRule="auto"/>
        <w:ind w:left="1077" w:hanging="720"/>
        <w:rPr>
          <w:sz w:val="24"/>
        </w:rPr>
      </w:pPr>
      <w:r>
        <w:rPr>
          <w:sz w:val="24"/>
        </w:rPr>
        <w:t>如供应商的最后报价超过竞争性磋商文件中规定的项目/采购包预算金额或者项目/采购包最高限价的；</w:t>
      </w:r>
    </w:p>
    <w:p>
      <w:pPr>
        <w:numPr>
          <w:ilvl w:val="1"/>
          <w:numId w:val="5"/>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pPr>
        <w:numPr>
          <w:ilvl w:val="1"/>
          <w:numId w:val="5"/>
        </w:numPr>
        <w:tabs>
          <w:tab w:val="left" w:pos="1080"/>
        </w:tabs>
        <w:snapToGrid w:val="0"/>
        <w:spacing w:line="360" w:lineRule="auto"/>
        <w:ind w:left="1077" w:hanging="720"/>
        <w:rPr>
          <w:sz w:val="24"/>
        </w:rPr>
      </w:pPr>
      <w:r>
        <w:rPr>
          <w:sz w:val="24"/>
        </w:rPr>
        <w:t>最后报价出现前后不一致，供应商对修正后的报价不予确认的；</w:t>
      </w:r>
    </w:p>
    <w:p>
      <w:pPr>
        <w:numPr>
          <w:ilvl w:val="1"/>
          <w:numId w:val="5"/>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pPr>
        <w:tabs>
          <w:tab w:val="left" w:pos="1080"/>
          <w:tab w:val="left" w:pos="1589"/>
        </w:tabs>
        <w:snapToGrid w:val="0"/>
        <w:spacing w:line="360" w:lineRule="auto"/>
        <w:ind w:left="567" w:leftChars="270" w:firstLine="1200" w:firstLineChars="500"/>
        <w:rPr>
          <w:sz w:val="24"/>
        </w:rPr>
      </w:pPr>
      <w:r>
        <w:rPr>
          <w:sz w:val="24"/>
          <w:u w:val="single"/>
        </w:rPr>
        <w:t>不符合法律、法规和磋商文件中规定的其他实质性要求的</w:t>
      </w:r>
      <w:r>
        <w:rPr>
          <w:sz w:val="24"/>
        </w:rPr>
        <w:t>。</w:t>
      </w:r>
    </w:p>
    <w:bookmarkEnd w:id="591"/>
    <w:bookmarkEnd w:id="592"/>
    <w:p>
      <w:pPr>
        <w:numPr>
          <w:ilvl w:val="0"/>
          <w:numId w:val="5"/>
        </w:numPr>
        <w:tabs>
          <w:tab w:val="left" w:pos="360"/>
        </w:tabs>
        <w:snapToGrid w:val="0"/>
        <w:spacing w:line="360" w:lineRule="auto"/>
        <w:outlineLvl w:val="1"/>
        <w:rPr>
          <w:sz w:val="24"/>
        </w:rPr>
      </w:pPr>
      <w:r>
        <w:rPr>
          <w:sz w:val="24"/>
        </w:rPr>
        <w:t>评审方法和评审标准</w:t>
      </w:r>
    </w:p>
    <w:p>
      <w:pPr>
        <w:numPr>
          <w:ilvl w:val="1"/>
          <w:numId w:val="5"/>
        </w:numPr>
        <w:tabs>
          <w:tab w:val="left" w:pos="1080"/>
          <w:tab w:val="left" w:pos="1872"/>
        </w:tabs>
        <w:snapToGrid w:val="0"/>
        <w:spacing w:line="360" w:lineRule="auto"/>
        <w:ind w:left="1077"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5"/>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pPr>
        <w:numPr>
          <w:ilvl w:val="1"/>
          <w:numId w:val="5"/>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详见第三章二、评审标准 </w:t>
      </w:r>
      <w:r>
        <w:rPr>
          <w:sz w:val="24"/>
        </w:rPr>
        <w:t>。</w:t>
      </w:r>
    </w:p>
    <w:p>
      <w:pPr>
        <w:numPr>
          <w:ilvl w:val="1"/>
          <w:numId w:val="5"/>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pPr>
        <w:numPr>
          <w:ilvl w:val="0"/>
          <w:numId w:val="5"/>
        </w:numPr>
        <w:tabs>
          <w:tab w:val="left" w:pos="360"/>
        </w:tabs>
        <w:snapToGrid w:val="0"/>
        <w:spacing w:line="360" w:lineRule="auto"/>
        <w:outlineLvl w:val="1"/>
        <w:rPr>
          <w:sz w:val="24"/>
        </w:rPr>
      </w:pPr>
      <w:r>
        <w:rPr>
          <w:sz w:val="24"/>
        </w:rPr>
        <w:t>确定</w:t>
      </w:r>
      <w:bookmarkStart w:id="608" w:name="_Toc127151546"/>
      <w:bookmarkStart w:id="609" w:name="_Toc150774646"/>
      <w:bookmarkStart w:id="610" w:name="_Toc164351640"/>
      <w:bookmarkStart w:id="611" w:name="_Toc127161460"/>
      <w:bookmarkStart w:id="612" w:name="_Toc520356170"/>
      <w:bookmarkStart w:id="613" w:name="_Toc164608815"/>
      <w:bookmarkStart w:id="614" w:name="_Toc164229387"/>
      <w:bookmarkStart w:id="615" w:name="_Toc149720839"/>
      <w:bookmarkStart w:id="616" w:name="_Toc226965736"/>
      <w:bookmarkStart w:id="617" w:name="_Toc305158888"/>
      <w:bookmarkStart w:id="618" w:name="_Toc150480784"/>
      <w:bookmarkStart w:id="619" w:name="_Toc150774751"/>
      <w:bookmarkStart w:id="620" w:name="_Ref467307010"/>
      <w:bookmarkStart w:id="621" w:name="_Toc226337242"/>
      <w:bookmarkStart w:id="622" w:name="_Toc195842911"/>
      <w:bookmarkStart w:id="623" w:name="_Toc164229241"/>
      <w:bookmarkStart w:id="624" w:name="_Toc151190173"/>
      <w:bookmarkStart w:id="625" w:name="_Toc264969236"/>
      <w:bookmarkStart w:id="626" w:name="_Toc151193860"/>
      <w:bookmarkStart w:id="627" w:name="_Toc305158814"/>
      <w:bookmarkStart w:id="628" w:name="_Toc151193644"/>
      <w:bookmarkStart w:id="629" w:name="_Toc226965819"/>
      <w:bookmarkStart w:id="630" w:name="_Toc151193716"/>
      <w:bookmarkStart w:id="631" w:name="_Toc164608660"/>
      <w:bookmarkStart w:id="632" w:name="_Toc127151747"/>
      <w:bookmarkStart w:id="633" w:name="_Toc265228384"/>
      <w:bookmarkStart w:id="634" w:name="_Toc151193788"/>
      <w:bookmarkStart w:id="635" w:name="_Toc226309790"/>
      <w:bookmarkStart w:id="636" w:name="_Toc150509297"/>
      <w:bookmarkStart w:id="637" w:name="_Toc151193934"/>
      <w:bookmarkStart w:id="638" w:name="_Toc142311048"/>
      <w:r>
        <w:rPr>
          <w:sz w:val="24"/>
        </w:rPr>
        <w:t>成交候选人名单</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pPr>
        <w:numPr>
          <w:ilvl w:val="1"/>
          <w:numId w:val="5"/>
        </w:numPr>
        <w:tabs>
          <w:tab w:val="left" w:pos="1080"/>
          <w:tab w:val="left" w:pos="1872"/>
        </w:tabs>
        <w:snapToGrid w:val="0"/>
        <w:spacing w:line="360" w:lineRule="auto"/>
        <w:ind w:left="1077"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5"/>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pPr>
        <w:numPr>
          <w:ilvl w:val="1"/>
          <w:numId w:val="5"/>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pPr>
        <w:numPr>
          <w:ilvl w:val="0"/>
          <w:numId w:val="5"/>
        </w:numPr>
        <w:tabs>
          <w:tab w:val="left" w:pos="360"/>
        </w:tabs>
        <w:snapToGrid w:val="0"/>
        <w:spacing w:line="360" w:lineRule="auto"/>
        <w:outlineLvl w:val="1"/>
        <w:rPr>
          <w:sz w:val="24"/>
        </w:rPr>
      </w:pPr>
      <w:r>
        <w:rPr>
          <w:sz w:val="24"/>
        </w:rPr>
        <w:t>报告违法行为</w:t>
      </w:r>
    </w:p>
    <w:p>
      <w:pPr>
        <w:widowControl/>
        <w:numPr>
          <w:ilvl w:val="1"/>
          <w:numId w:val="5"/>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pPr>
        <w:pStyle w:val="4"/>
        <w:spacing w:before="0" w:line="360" w:lineRule="auto"/>
        <w:rPr>
          <w:color w:val="000000"/>
          <w:sz w:val="24"/>
        </w:rPr>
      </w:pPr>
      <w:r>
        <w:rPr>
          <w:rFonts w:hint="eastAsia" w:ascii="Times New Roman" w:hAnsi="Times New Roman" w:eastAsia="宋体"/>
          <w:sz w:val="24"/>
          <w:szCs w:val="24"/>
        </w:rPr>
        <w:t xml:space="preserve"> </w:t>
      </w:r>
      <w:r>
        <w:rPr>
          <w:rFonts w:ascii="Times New Roman" w:hAnsi="Times New Roman" w:eastAsia="宋体"/>
          <w:sz w:val="24"/>
          <w:szCs w:val="24"/>
        </w:rPr>
        <w:t xml:space="preserve"> 二、评</w:t>
      </w:r>
      <w:r>
        <w:rPr>
          <w:rFonts w:hint="eastAsia" w:ascii="Times New Roman" w:hAnsi="Times New Roman" w:eastAsia="宋体"/>
          <w:sz w:val="24"/>
          <w:szCs w:val="24"/>
        </w:rPr>
        <w:t>审</w:t>
      </w:r>
      <w:r>
        <w:rPr>
          <w:rFonts w:ascii="Times New Roman" w:hAnsi="Times New Roman" w:eastAsia="宋体"/>
          <w:sz w:val="24"/>
          <w:szCs w:val="24"/>
        </w:rPr>
        <w:t>标准</w:t>
      </w:r>
    </w:p>
    <w:p>
      <w:pPr>
        <w:pStyle w:val="23"/>
        <w:spacing w:line="360" w:lineRule="auto"/>
        <w:ind w:left="844" w:leftChars="136" w:hanging="559" w:hangingChars="233"/>
        <w:jc w:val="center"/>
        <w:outlineLvl w:val="1"/>
        <w:rPr>
          <w:rFonts w:hint="default" w:ascii="Times New Roman" w:hAnsi="Times New Roman"/>
          <w:b/>
          <w:sz w:val="24"/>
          <w:szCs w:val="24"/>
        </w:rPr>
      </w:pPr>
      <w:r>
        <w:rPr>
          <w:rFonts w:ascii="Times New Roman" w:hAnsi="Times New Roman"/>
          <w:b/>
          <w:sz w:val="24"/>
          <w:szCs w:val="24"/>
        </w:rPr>
        <w:t>01包 教学设备</w:t>
      </w:r>
    </w:p>
    <w:tbl>
      <w:tblPr>
        <w:tblStyle w:val="45"/>
        <w:tblW w:w="0" w:type="auto"/>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85" w:type="dxa"/>
          <w:bottom w:w="28" w:type="dxa"/>
          <w:right w:w="85" w:type="dxa"/>
        </w:tblCellMar>
      </w:tblPr>
      <w:tblGrid>
        <w:gridCol w:w="324"/>
        <w:gridCol w:w="1096"/>
        <w:gridCol w:w="1476"/>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tcMar>
              <w:top w:w="15" w:type="dxa"/>
              <w:left w:w="15" w:type="dxa"/>
              <w:bottom w:w="0" w:type="dxa"/>
              <w:right w:w="15" w:type="dxa"/>
            </w:tcMar>
            <w:vAlign w:val="center"/>
          </w:tcPr>
          <w:p>
            <w:pPr>
              <w:jc w:val="center"/>
              <w:rPr>
                <w:rFonts w:ascii="宋体" w:hAnsi="宋体"/>
                <w:b/>
                <w:bCs/>
                <w:color w:val="000000"/>
                <w:szCs w:val="21"/>
              </w:rPr>
            </w:pPr>
            <w:r>
              <w:rPr>
                <w:rFonts w:hint="eastAsia" w:ascii="宋体" w:hAnsi="宋体"/>
                <w:b/>
                <w:bCs/>
                <w:color w:val="000000"/>
                <w:szCs w:val="21"/>
              </w:rPr>
              <w:t>序号</w:t>
            </w:r>
          </w:p>
        </w:tc>
        <w:tc>
          <w:tcPr>
            <w:tcW w:w="0" w:type="auto"/>
            <w:tcMar>
              <w:top w:w="15" w:type="dxa"/>
              <w:left w:w="15" w:type="dxa"/>
              <w:bottom w:w="0" w:type="dxa"/>
              <w:right w:w="15" w:type="dxa"/>
            </w:tcMar>
            <w:vAlign w:val="center"/>
          </w:tcPr>
          <w:p>
            <w:pPr>
              <w:jc w:val="center"/>
              <w:rPr>
                <w:rFonts w:ascii="宋体" w:hAnsi="宋体"/>
                <w:b/>
                <w:bCs/>
                <w:color w:val="000000"/>
                <w:szCs w:val="21"/>
              </w:rPr>
            </w:pPr>
            <w:r>
              <w:rPr>
                <w:rFonts w:hint="eastAsia" w:ascii="宋体" w:hAnsi="宋体"/>
                <w:b/>
                <w:bCs/>
                <w:color w:val="000000"/>
                <w:szCs w:val="21"/>
              </w:rPr>
              <w:t>评审</w:t>
            </w:r>
          </w:p>
          <w:p>
            <w:pPr>
              <w:jc w:val="center"/>
              <w:rPr>
                <w:rFonts w:ascii="宋体" w:hAnsi="宋体"/>
                <w:b/>
                <w:bCs/>
                <w:color w:val="000000"/>
                <w:szCs w:val="21"/>
              </w:rPr>
            </w:pPr>
            <w:r>
              <w:rPr>
                <w:rFonts w:hint="eastAsia" w:ascii="宋体" w:hAnsi="宋体"/>
                <w:b/>
                <w:bCs/>
                <w:color w:val="000000"/>
                <w:szCs w:val="21"/>
              </w:rPr>
              <w:t>条款</w:t>
            </w:r>
          </w:p>
        </w:tc>
        <w:tc>
          <w:tcPr>
            <w:tcW w:w="0" w:type="auto"/>
            <w:vAlign w:val="center"/>
          </w:tcPr>
          <w:p>
            <w:pPr>
              <w:jc w:val="center"/>
              <w:rPr>
                <w:rFonts w:ascii="宋体" w:hAnsi="宋体"/>
                <w:b/>
                <w:bCs/>
                <w:color w:val="000000"/>
                <w:szCs w:val="21"/>
              </w:rPr>
            </w:pPr>
            <w:r>
              <w:rPr>
                <w:rFonts w:hint="eastAsia" w:ascii="宋体" w:hAnsi="宋体"/>
                <w:b/>
                <w:bCs/>
                <w:color w:val="000000"/>
                <w:szCs w:val="21"/>
              </w:rPr>
              <w:t>评审项</w:t>
            </w:r>
          </w:p>
        </w:tc>
        <w:tc>
          <w:tcPr>
            <w:tcW w:w="0" w:type="auto"/>
            <w:tcMar>
              <w:top w:w="15" w:type="dxa"/>
              <w:left w:w="15" w:type="dxa"/>
              <w:bottom w:w="0" w:type="dxa"/>
              <w:right w:w="15" w:type="dxa"/>
            </w:tcMar>
            <w:vAlign w:val="center"/>
          </w:tcPr>
          <w:p>
            <w:pPr>
              <w:ind w:leftChars="-10" w:hanging="21" w:hangingChars="10"/>
              <w:jc w:val="center"/>
              <w:rPr>
                <w:rFonts w:ascii="宋体" w:hAnsi="宋体"/>
                <w:b/>
                <w:bCs/>
                <w:color w:val="000000"/>
                <w:szCs w:val="21"/>
              </w:rPr>
            </w:pPr>
            <w:r>
              <w:rPr>
                <w:rFonts w:hint="eastAsia" w:ascii="宋体" w:hAnsi="宋体"/>
                <w:b/>
                <w:bCs/>
                <w:color w:val="000000"/>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1</w:t>
            </w:r>
          </w:p>
        </w:tc>
        <w:tc>
          <w:tcPr>
            <w:tcW w:w="0" w:type="auto"/>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投标报价（</w:t>
            </w:r>
            <w:r>
              <w:rPr>
                <w:rFonts w:ascii="宋体" w:hAnsi="宋体"/>
                <w:color w:val="000000"/>
                <w:szCs w:val="21"/>
              </w:rPr>
              <w:t>30</w:t>
            </w:r>
            <w:r>
              <w:rPr>
                <w:rFonts w:hint="eastAsia" w:ascii="宋体" w:hAnsi="宋体"/>
                <w:color w:val="000000"/>
                <w:szCs w:val="21"/>
              </w:rPr>
              <w:t>分）</w:t>
            </w:r>
          </w:p>
        </w:tc>
        <w:tc>
          <w:tcPr>
            <w:tcW w:w="0" w:type="auto"/>
            <w:vAlign w:val="center"/>
          </w:tcPr>
          <w:p>
            <w:pPr>
              <w:jc w:val="center"/>
              <w:rPr>
                <w:rFonts w:ascii="宋体" w:hAnsi="宋体"/>
                <w:color w:val="000000"/>
                <w:szCs w:val="21"/>
              </w:rPr>
            </w:pPr>
            <w:r>
              <w:rPr>
                <w:rFonts w:hint="eastAsia" w:ascii="宋体" w:hAnsi="宋体"/>
                <w:color w:val="000000"/>
                <w:szCs w:val="21"/>
              </w:rPr>
              <w:t>价格</w:t>
            </w:r>
          </w:p>
          <w:p>
            <w:pPr>
              <w:jc w:val="cente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0分)</w:t>
            </w:r>
          </w:p>
        </w:tc>
        <w:tc>
          <w:tcPr>
            <w:tcW w:w="0" w:type="auto"/>
            <w:tcMar>
              <w:top w:w="15" w:type="dxa"/>
              <w:left w:w="15" w:type="dxa"/>
              <w:bottom w:w="0" w:type="dxa"/>
              <w:right w:w="15" w:type="dxa"/>
            </w:tcMar>
            <w:vAlign w:val="center"/>
          </w:tcPr>
          <w:p>
            <w:pPr>
              <w:widowControl/>
              <w:ind w:leftChars="-10" w:hanging="21" w:hangingChars="10"/>
              <w:rPr>
                <w:rFonts w:ascii="宋体" w:hAnsi="宋体"/>
                <w:color w:val="000000"/>
                <w:szCs w:val="21"/>
              </w:rPr>
            </w:pPr>
            <w:r>
              <w:rPr>
                <w:rFonts w:hint="eastAsia"/>
              </w:rPr>
              <w:t>实质性响应</w:t>
            </w:r>
            <w:r>
              <w:rPr>
                <w:rFonts w:hint="eastAsia" w:ascii="宋体" w:hAnsi="宋体"/>
                <w:color w:val="000000"/>
                <w:szCs w:val="21"/>
              </w:rPr>
              <w:t>磋商文件要求且最后报价最低的</w:t>
            </w:r>
            <w:r>
              <w:rPr>
                <w:rFonts w:hint="eastAsia"/>
              </w:rPr>
              <w:t>供应商的价格</w:t>
            </w:r>
            <w:r>
              <w:rPr>
                <w:rFonts w:hint="eastAsia" w:ascii="宋体" w:hAnsi="宋体"/>
                <w:color w:val="000000"/>
                <w:szCs w:val="21"/>
              </w:rPr>
              <w:t>为磋商基准价，其价格分为满分。其他供应商的价格分统一按照下列公式计算：</w:t>
            </w:r>
          </w:p>
          <w:p>
            <w:pPr>
              <w:widowControl/>
              <w:ind w:leftChars="-10" w:hanging="21" w:hangingChars="10"/>
              <w:rPr>
                <w:rFonts w:ascii="宋体" w:hAnsi="宋体"/>
                <w:color w:val="000000"/>
                <w:szCs w:val="21"/>
              </w:rPr>
            </w:pPr>
            <w:r>
              <w:rPr>
                <w:rFonts w:hint="eastAsia"/>
              </w:rPr>
              <w:t>磋商</w:t>
            </w:r>
            <w:r>
              <w:rPr>
                <w:rFonts w:hint="eastAsia" w:ascii="宋体" w:hAnsi="宋体"/>
                <w:color w:val="000000"/>
                <w:szCs w:val="21"/>
              </w:rPr>
              <w:t>报价得分=（</w:t>
            </w:r>
            <w:r>
              <w:rPr>
                <w:rFonts w:hint="eastAsia"/>
              </w:rPr>
              <w:t>磋商</w:t>
            </w:r>
            <w:r>
              <w:rPr>
                <w:rFonts w:hint="eastAsia" w:ascii="宋体" w:hAnsi="宋体"/>
                <w:color w:val="000000"/>
                <w:szCs w:val="21"/>
              </w:rPr>
              <w:t>基准价/</w:t>
            </w:r>
            <w:r>
              <w:rPr>
                <w:rFonts w:hint="eastAsia"/>
              </w:rPr>
              <w:t>最后磋商</w:t>
            </w:r>
            <w:r>
              <w:rPr>
                <w:rFonts w:hint="eastAsia" w:ascii="宋体" w:hAnsi="宋体"/>
                <w:color w:val="000000"/>
                <w:szCs w:val="21"/>
              </w:rPr>
              <w:t>报价）×</w:t>
            </w:r>
            <w:r>
              <w:rPr>
                <w:rFonts w:ascii="宋体" w:hAnsi="宋体"/>
                <w:color w:val="000000"/>
                <w:szCs w:val="21"/>
              </w:rPr>
              <w:t>3</w:t>
            </w:r>
            <w:r>
              <w:rPr>
                <w:rFonts w:hint="eastAsia" w:ascii="宋体" w:hAnsi="宋体"/>
                <w:color w:val="000000"/>
                <w:szCs w:val="21"/>
              </w:rPr>
              <w:t>0</w:t>
            </w:r>
          </w:p>
          <w:p>
            <w:pPr>
              <w:pStyle w:val="34"/>
              <w:ind w:left="0"/>
            </w:pPr>
            <w:r>
              <w:rPr>
                <w:rFonts w:hint="eastAsia"/>
              </w:rPr>
              <w:t>注：1.计算分数时四舍五入取小数点后两位；</w:t>
            </w:r>
          </w:p>
          <w:p>
            <w:pPr>
              <w:widowControl/>
              <w:ind w:firstLine="420" w:firstLineChars="200"/>
              <w:rPr>
                <w:rFonts w:ascii="宋体" w:hAnsi="宋体"/>
                <w:color w:val="000000"/>
                <w:szCs w:val="21"/>
              </w:rPr>
            </w:pPr>
            <w:r>
              <w:rPr>
                <w:rFonts w:hint="eastAsia"/>
              </w:rPr>
              <w:t>2.供应商最后报价低于成本的除外；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2</w:t>
            </w:r>
          </w:p>
        </w:tc>
        <w:tc>
          <w:tcPr>
            <w:tcW w:w="0" w:type="auto"/>
            <w:tcMar>
              <w:top w:w="15" w:type="dxa"/>
              <w:left w:w="15" w:type="dxa"/>
              <w:bottom w:w="0" w:type="dxa"/>
              <w:right w:w="15" w:type="dxa"/>
            </w:tcMar>
            <w:vAlign w:val="center"/>
          </w:tcPr>
          <w:p>
            <w:pPr>
              <w:jc w:val="center"/>
              <w:rPr>
                <w:rFonts w:hint="eastAsia" w:ascii="宋体" w:hAnsi="宋体"/>
                <w:color w:val="000000"/>
                <w:szCs w:val="21"/>
              </w:rPr>
            </w:pPr>
            <w:r>
              <w:rPr>
                <w:rFonts w:hint="eastAsia" w:ascii="宋体" w:hAnsi="宋体"/>
                <w:color w:val="000000"/>
                <w:szCs w:val="21"/>
              </w:rPr>
              <w:t>商务部分</w:t>
            </w:r>
          </w:p>
          <w:p>
            <w:pPr>
              <w:jc w:val="center"/>
              <w:rPr>
                <w:rFonts w:ascii="宋体" w:hAnsi="宋体"/>
                <w:color w:val="000000"/>
                <w:szCs w:val="21"/>
              </w:rPr>
            </w:pPr>
            <w:r>
              <w:rPr>
                <w:rFonts w:hint="eastAsia" w:ascii="宋体" w:hAnsi="宋体"/>
                <w:color w:val="000000"/>
                <w:szCs w:val="21"/>
              </w:rPr>
              <w:t>（2分）</w:t>
            </w:r>
          </w:p>
        </w:tc>
        <w:tc>
          <w:tcPr>
            <w:tcW w:w="0" w:type="auto"/>
            <w:vAlign w:val="center"/>
          </w:tcPr>
          <w:p>
            <w:pPr>
              <w:jc w:val="center"/>
              <w:rPr>
                <w:rFonts w:ascii="宋体" w:hAnsi="宋体" w:cs="宋体"/>
                <w:szCs w:val="21"/>
              </w:rPr>
            </w:pPr>
            <w:r>
              <w:rPr>
                <w:rFonts w:hint="eastAsia" w:ascii="宋体" w:hAnsi="宋体" w:cs="宋体"/>
                <w:szCs w:val="21"/>
              </w:rPr>
              <w:t>相关业绩</w:t>
            </w:r>
          </w:p>
          <w:p>
            <w:pPr>
              <w:jc w:val="center"/>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分）</w:t>
            </w:r>
          </w:p>
        </w:tc>
        <w:tc>
          <w:tcPr>
            <w:tcW w:w="0" w:type="auto"/>
            <w:tcMar>
              <w:top w:w="15" w:type="dxa"/>
              <w:left w:w="15" w:type="dxa"/>
              <w:bottom w:w="0" w:type="dxa"/>
              <w:right w:w="15" w:type="dxa"/>
            </w:tcMar>
            <w:vAlign w:val="center"/>
          </w:tcPr>
          <w:p>
            <w:pPr>
              <w:ind w:leftChars="-10" w:hanging="21" w:hangingChars="10"/>
            </w:pPr>
            <w:r>
              <w:rPr>
                <w:rFonts w:hint="eastAsia"/>
              </w:rPr>
              <w:t>供应商需提供供应商自20</w:t>
            </w:r>
            <w:r>
              <w:t>20</w:t>
            </w:r>
            <w:r>
              <w:rPr>
                <w:rFonts w:hint="eastAsia"/>
              </w:rPr>
              <w:t>年7月至20</w:t>
            </w:r>
            <w:r>
              <w:t>23</w:t>
            </w:r>
            <w:r>
              <w:rPr>
                <w:rFonts w:hint="eastAsia"/>
              </w:rPr>
              <w:t>年7月完成的与本项目相似或相近的同类项目业绩。需提供合同复印件（至少包含：合同首页、清单页和买卖双方签字页）并加盖供应商公章。</w:t>
            </w:r>
          </w:p>
          <w:p>
            <w:pPr>
              <w:ind w:leftChars="-10" w:hanging="21" w:hangingChars="10"/>
            </w:pPr>
            <w:r>
              <w:rPr>
                <w:rFonts w:hint="eastAsia"/>
              </w:rPr>
              <w:t>每提供一份有效业绩得</w:t>
            </w:r>
            <w:r>
              <w:t>1</w:t>
            </w:r>
            <w:r>
              <w:rPr>
                <w:rFonts w:hint="eastAsia"/>
              </w:rPr>
              <w:t>分，最高得</w:t>
            </w:r>
            <w:r>
              <w:t>2</w:t>
            </w:r>
            <w:r>
              <w:rPr>
                <w:rFonts w:hint="eastAsia"/>
              </w:rPr>
              <w:t>分。</w:t>
            </w:r>
          </w:p>
          <w:p>
            <w:pPr>
              <w:pStyle w:val="34"/>
              <w:ind w:left="0"/>
            </w:pPr>
            <w:r>
              <w:rPr>
                <w:rFonts w:hint="eastAsia" w:asciiTheme="minorHAnsi" w:hAnsiTheme="minorHAnsi" w:eastAsiaTheme="minorEastAsia" w:cstheme="minorBidi"/>
                <w:szCs w:val="22"/>
              </w:rPr>
              <w:t>未提供或者证明材料不完整清晰或内容无关联的不得分。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restart"/>
            <w:tcMar>
              <w:top w:w="15" w:type="dxa"/>
              <w:left w:w="15" w:type="dxa"/>
              <w:bottom w:w="0" w:type="dxa"/>
              <w:right w:w="15" w:type="dxa"/>
            </w:tcMar>
            <w:vAlign w:val="center"/>
          </w:tcPr>
          <w:p>
            <w:pPr>
              <w:jc w:val="center"/>
              <w:rPr>
                <w:rFonts w:ascii="宋体" w:hAnsi="宋体"/>
                <w:color w:val="000000"/>
                <w:szCs w:val="21"/>
              </w:rPr>
            </w:pPr>
            <w:r>
              <w:rPr>
                <w:rFonts w:ascii="宋体" w:hAnsi="宋体"/>
                <w:color w:val="000000"/>
                <w:szCs w:val="21"/>
              </w:rPr>
              <w:t>3</w:t>
            </w:r>
          </w:p>
        </w:tc>
        <w:tc>
          <w:tcPr>
            <w:tcW w:w="0" w:type="auto"/>
            <w:vMerge w:val="restart"/>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技术</w:t>
            </w:r>
          </w:p>
          <w:p>
            <w:pPr>
              <w:jc w:val="center"/>
              <w:rPr>
                <w:rFonts w:hint="eastAsia" w:ascii="宋体" w:hAnsi="宋体"/>
                <w:color w:val="000000"/>
                <w:szCs w:val="21"/>
              </w:rPr>
            </w:pPr>
            <w:r>
              <w:rPr>
                <w:rFonts w:hint="eastAsia" w:ascii="宋体" w:hAnsi="宋体"/>
                <w:color w:val="000000"/>
                <w:szCs w:val="21"/>
              </w:rPr>
              <w:t>部分</w:t>
            </w:r>
          </w:p>
          <w:p>
            <w:pPr>
              <w:jc w:val="center"/>
              <w:rPr>
                <w:rFonts w:ascii="宋体" w:hAnsi="宋体"/>
                <w:color w:val="000000"/>
                <w:szCs w:val="21"/>
              </w:rPr>
            </w:pPr>
            <w:r>
              <w:rPr>
                <w:rFonts w:hint="eastAsia" w:ascii="宋体" w:hAnsi="宋体"/>
                <w:color w:val="000000"/>
                <w:szCs w:val="21"/>
              </w:rPr>
              <w:t>（6</w:t>
            </w:r>
            <w:r>
              <w:rPr>
                <w:rFonts w:hint="eastAsia" w:ascii="宋体" w:hAnsi="宋体"/>
                <w:color w:val="000000"/>
                <w:szCs w:val="21"/>
                <w:lang w:val="en-US" w:eastAsia="zh-CN"/>
              </w:rPr>
              <w:t>6.8</w:t>
            </w:r>
            <w:r>
              <w:rPr>
                <w:rFonts w:hint="eastAsia" w:ascii="宋体" w:hAnsi="宋体"/>
                <w:color w:val="000000"/>
                <w:szCs w:val="21"/>
              </w:rPr>
              <w:t>分）</w:t>
            </w:r>
          </w:p>
        </w:tc>
        <w:tc>
          <w:tcPr>
            <w:tcW w:w="0" w:type="auto"/>
            <w:shd w:val="clear" w:color="auto" w:fill="FFFFFF" w:themeFill="background1"/>
            <w:vAlign w:val="center"/>
          </w:tcPr>
          <w:p>
            <w:pPr>
              <w:widowControl/>
              <w:jc w:val="center"/>
              <w:rPr>
                <w:rFonts w:ascii="宋体" w:hAnsi="宋体"/>
                <w:color w:val="000000"/>
                <w:szCs w:val="21"/>
              </w:rPr>
            </w:pPr>
            <w:r>
              <w:rPr>
                <w:rFonts w:hint="eastAsia" w:ascii="宋体" w:hAnsi="宋体"/>
                <w:color w:val="000000"/>
                <w:szCs w:val="21"/>
              </w:rPr>
              <w:t>参数响应</w:t>
            </w:r>
          </w:p>
          <w:p>
            <w:pPr>
              <w:widowControl/>
              <w:jc w:val="center"/>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43.8</w:t>
            </w:r>
            <w:r>
              <w:rPr>
                <w:rFonts w:hint="eastAsia" w:ascii="宋体" w:hAnsi="宋体"/>
                <w:color w:val="000000"/>
                <w:szCs w:val="21"/>
              </w:rPr>
              <w:t>分)</w:t>
            </w:r>
          </w:p>
        </w:tc>
        <w:tc>
          <w:tcPr>
            <w:tcW w:w="0" w:type="auto"/>
            <w:tcBorders>
              <w:bottom w:val="single" w:color="auto" w:sz="4" w:space="0"/>
            </w:tcBorders>
            <w:shd w:val="clear" w:color="auto" w:fill="FFFFFF" w:themeFill="background1"/>
            <w:tcMar>
              <w:top w:w="15" w:type="dxa"/>
              <w:left w:w="15" w:type="dxa"/>
              <w:bottom w:w="0" w:type="dxa"/>
              <w:right w:w="15" w:type="dxa"/>
            </w:tcMar>
            <w:vAlign w:val="center"/>
          </w:tcPr>
          <w:p>
            <w:pPr>
              <w:ind w:leftChars="-10" w:hanging="21" w:hangingChars="10"/>
              <w:rPr>
                <w:b/>
                <w:bCs/>
              </w:rPr>
            </w:pPr>
            <w:r>
              <w:rPr>
                <w:rFonts w:hint="eastAsia"/>
                <w:b/>
                <w:bCs/>
              </w:rPr>
              <w:t>供应商对照</w:t>
            </w:r>
            <w:r>
              <w:rPr>
                <w:rFonts w:hint="eastAsia"/>
                <w:b/>
                <w:bCs/>
                <w:lang w:val="en-US" w:eastAsia="zh-CN"/>
              </w:rPr>
              <w:t>磋商</w:t>
            </w:r>
            <w:r>
              <w:rPr>
                <w:rFonts w:hint="eastAsia"/>
                <w:b/>
                <w:bCs/>
              </w:rPr>
              <w:t>文件的“技术要求”要求逐条做出应答：</w:t>
            </w:r>
          </w:p>
          <w:p>
            <w:pPr>
              <w:ind w:leftChars="-10" w:hanging="21" w:hangingChars="10"/>
            </w:pPr>
            <w:r>
              <w:rPr>
                <w:rFonts w:hint="eastAsia"/>
              </w:rPr>
              <w:t>#为重要性能指标参数、无标识为一般性能参数。投标产品的技术性能完全满足磋商文件技术需求得</w:t>
            </w:r>
            <w:r>
              <w:rPr>
                <w:rFonts w:hint="eastAsia"/>
                <w:lang w:val="en-US" w:eastAsia="zh-CN"/>
              </w:rPr>
              <w:t>43.8</w:t>
            </w:r>
            <w:r>
              <w:rPr>
                <w:rFonts w:hint="eastAsia"/>
              </w:rPr>
              <w:t>分；</w:t>
            </w:r>
          </w:p>
          <w:p>
            <w:pPr>
              <w:ind w:leftChars="-10" w:hanging="21" w:hangingChars="10"/>
            </w:pPr>
            <w:r>
              <w:rPr>
                <w:rFonts w:hint="eastAsia"/>
              </w:rPr>
              <w:t>（#号重要性能指标参数，共</w:t>
            </w:r>
            <w:r>
              <w:rPr>
                <w:rFonts w:hint="eastAsia"/>
                <w:lang w:val="en-US" w:eastAsia="zh-CN"/>
              </w:rPr>
              <w:t>18</w:t>
            </w:r>
            <w:r>
              <w:rPr>
                <w:rFonts w:hint="eastAsia"/>
              </w:rPr>
              <w:t>项；一般性能参数共</w:t>
            </w:r>
            <w:r>
              <w:rPr>
                <w:rFonts w:hint="eastAsia"/>
                <w:lang w:val="en-US" w:eastAsia="zh-CN"/>
              </w:rPr>
              <w:t>37</w:t>
            </w:r>
            <w:r>
              <w:rPr>
                <w:rFonts w:hint="eastAsia"/>
              </w:rPr>
              <w:t>项）</w:t>
            </w:r>
          </w:p>
          <w:p>
            <w:pPr>
              <w:ind w:leftChars="-10" w:hanging="21" w:hangingChars="10"/>
            </w:pPr>
            <w:r>
              <w:rPr>
                <w:rFonts w:hint="eastAsia"/>
              </w:rPr>
              <w:t>“#”号参数，每有一项负偏离，扣</w:t>
            </w:r>
            <w:r>
              <w:rPr>
                <w:rFonts w:hint="eastAsia"/>
                <w:lang w:val="en-US" w:eastAsia="zh-CN"/>
              </w:rPr>
              <w:t>1.2</w:t>
            </w:r>
            <w:r>
              <w:rPr>
                <w:rFonts w:hint="eastAsia"/>
              </w:rPr>
              <w:t>分；</w:t>
            </w:r>
          </w:p>
          <w:p>
            <w:pPr>
              <w:ind w:leftChars="-10" w:hanging="21" w:hangingChars="10"/>
            </w:pPr>
            <w:r>
              <w:rPr>
                <w:rFonts w:hint="eastAsia"/>
              </w:rPr>
              <w:t>一般性能参数，每有一项负偏离，每项扣</w:t>
            </w:r>
            <w:r>
              <w:rPr>
                <w:rFonts w:hint="eastAsia"/>
                <w:lang w:val="en-US" w:eastAsia="zh-CN"/>
              </w:rPr>
              <w:t>0.6</w:t>
            </w:r>
            <w:r>
              <w:rPr>
                <w:rFonts w:hint="eastAsia"/>
              </w:rPr>
              <w:t>分，扣完为止；</w:t>
            </w:r>
          </w:p>
          <w:p>
            <w:pPr>
              <w:ind w:leftChars="-10" w:hanging="21" w:hangingChars="10"/>
            </w:pPr>
            <w:r>
              <w:rPr>
                <w:rFonts w:hint="eastAsia"/>
              </w:rPr>
              <w:t>技术要求中要求提供证明材料的，未提供或提供不完整、不清晰均视为不满足。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shd w:val="clear" w:color="auto" w:fill="FFFFFF" w:themeFill="background1"/>
            <w:vAlign w:val="center"/>
          </w:tcPr>
          <w:p>
            <w:pPr>
              <w:ind w:leftChars="-10" w:hanging="21" w:hangingChars="10"/>
              <w:jc w:val="center"/>
            </w:pPr>
            <w:r>
              <w:rPr>
                <w:rFonts w:hint="eastAsia"/>
              </w:rPr>
              <w:t>项目供货及安装、调试方案</w:t>
            </w:r>
          </w:p>
          <w:p>
            <w:pPr>
              <w:ind w:leftChars="-10" w:hanging="21" w:hangingChars="10"/>
              <w:jc w:val="center"/>
            </w:pPr>
            <w:r>
              <w:rPr>
                <w:rFonts w:hint="eastAsia"/>
              </w:rPr>
              <w:t>（4分）</w:t>
            </w:r>
          </w:p>
        </w:tc>
        <w:tc>
          <w:tcPr>
            <w:tcW w:w="0" w:type="auto"/>
            <w:tcBorders>
              <w:bottom w:val="single" w:color="auto" w:sz="4" w:space="0"/>
            </w:tcBorders>
            <w:shd w:val="clear" w:color="auto" w:fill="FFFFFF" w:themeFill="background1"/>
            <w:tcMar>
              <w:top w:w="15" w:type="dxa"/>
              <w:left w:w="15" w:type="dxa"/>
              <w:bottom w:w="0" w:type="dxa"/>
              <w:right w:w="15" w:type="dxa"/>
            </w:tcMar>
            <w:vAlign w:val="center"/>
          </w:tcPr>
          <w:p>
            <w:pPr>
              <w:ind w:leftChars="-10" w:hanging="21" w:hangingChars="10"/>
            </w:pPr>
            <w:r>
              <w:rPr>
                <w:rFonts w:hint="eastAsia"/>
              </w:rPr>
              <w:t>方案详细完善、合理可行、针对性强，进度计划安排合理，完全能够保障项目实施，得4分；</w:t>
            </w:r>
          </w:p>
          <w:p>
            <w:pPr>
              <w:ind w:leftChars="-10" w:hanging="21" w:hangingChars="10"/>
            </w:pPr>
            <w:r>
              <w:rPr>
                <w:rFonts w:hint="eastAsia"/>
              </w:rPr>
              <w:t>方案基本完善，进度安排基本合理、针对性低，能够保障项目实施，得2分；</w:t>
            </w:r>
          </w:p>
          <w:p>
            <w:pPr>
              <w:ind w:leftChars="-10" w:hanging="21" w:hangingChars="10"/>
            </w:pPr>
            <w:r>
              <w:rPr>
                <w:rFonts w:hint="eastAsia"/>
              </w:rPr>
              <w:t>方案有缺失，合理性低，不能够保障项目实施，得1分；</w:t>
            </w:r>
          </w:p>
          <w:p>
            <w:pPr>
              <w:ind w:leftChars="-10" w:hanging="21" w:hangingChars="10"/>
            </w:pPr>
            <w:r>
              <w:rPr>
                <w:rFonts w:hint="eastAsia"/>
              </w:rPr>
              <w:t>不满足采购要求或未提供，得0分。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tcBorders>
              <w:right w:val="single" w:color="auto" w:sz="4" w:space="0"/>
            </w:tcBorders>
            <w:vAlign w:val="center"/>
          </w:tcPr>
          <w:p>
            <w:pPr>
              <w:jc w:val="center"/>
              <w:rPr>
                <w:rFonts w:ascii="宋体" w:hAnsi="宋体"/>
                <w:color w:val="000000"/>
                <w:szCs w:val="21"/>
              </w:rPr>
            </w:pPr>
            <w:r>
              <w:rPr>
                <w:rFonts w:hint="eastAsia" w:ascii="宋体" w:hAnsi="宋体"/>
                <w:color w:val="000000"/>
                <w:szCs w:val="21"/>
              </w:rPr>
              <w:t>项目实施方案（10分）</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rPr>
                <w:rFonts w:ascii="宋体" w:hAnsi="宋体"/>
                <w:color w:val="000000"/>
                <w:szCs w:val="21"/>
              </w:rPr>
            </w:pPr>
            <w:r>
              <w:rPr>
                <w:rFonts w:hint="eastAsia" w:ascii="宋体" w:hAnsi="宋体"/>
                <w:color w:val="000000"/>
                <w:szCs w:val="21"/>
              </w:rPr>
              <w:t>实施方案包括：质量保证、人员配备、进度安排、实施管理及保障、施工方案等。</w:t>
            </w:r>
          </w:p>
          <w:p>
            <w:pPr>
              <w:widowControl/>
              <w:rPr>
                <w:rFonts w:ascii="宋体" w:hAnsi="宋体"/>
                <w:color w:val="000000"/>
                <w:szCs w:val="21"/>
              </w:rPr>
            </w:pPr>
            <w:r>
              <w:rPr>
                <w:rFonts w:hint="eastAsia" w:ascii="宋体" w:hAnsi="宋体"/>
                <w:color w:val="000000"/>
                <w:szCs w:val="21"/>
              </w:rPr>
              <w:t>方案设计合理、条理清晰、内容全面专业，可实施性及针对性强，整体规划合理，完全符合项目需求，得10分；</w:t>
            </w:r>
          </w:p>
          <w:p>
            <w:pPr>
              <w:widowControl/>
              <w:rPr>
                <w:rFonts w:ascii="宋体" w:hAnsi="宋体"/>
                <w:color w:val="000000"/>
                <w:szCs w:val="21"/>
              </w:rPr>
            </w:pPr>
            <w:r>
              <w:rPr>
                <w:rFonts w:hint="eastAsia" w:ascii="宋体" w:hAnsi="宋体"/>
                <w:color w:val="000000"/>
                <w:szCs w:val="21"/>
              </w:rPr>
              <w:t>方案设计基本合理、条理基本清晰、内容基本完善，针对性低，基本符合项目需求，得7分；</w:t>
            </w:r>
          </w:p>
          <w:p>
            <w:pPr>
              <w:widowControl/>
              <w:rPr>
                <w:rFonts w:ascii="宋体" w:hAnsi="宋体"/>
                <w:color w:val="000000"/>
                <w:szCs w:val="21"/>
              </w:rPr>
            </w:pPr>
            <w:r>
              <w:rPr>
                <w:rFonts w:hint="eastAsia" w:ascii="宋体" w:hAnsi="宋体"/>
                <w:color w:val="000000"/>
                <w:szCs w:val="21"/>
              </w:rPr>
              <w:t>方案设计可行性低、条理不够清晰、内容不够全面专业，无针对性，得3分；</w:t>
            </w:r>
          </w:p>
          <w:p>
            <w:pPr>
              <w:widowControl/>
              <w:rPr>
                <w:rFonts w:ascii="宋体" w:hAnsi="宋体"/>
                <w:color w:val="000000"/>
                <w:szCs w:val="21"/>
              </w:rPr>
            </w:pPr>
            <w:r>
              <w:rPr>
                <w:rFonts w:hint="eastAsia" w:ascii="宋体" w:hAnsi="宋体"/>
                <w:color w:val="000000"/>
                <w:szCs w:val="21"/>
              </w:rPr>
              <w:t>方案设计有缺失，合理性低，不能够保障项目实施，得1分；</w:t>
            </w:r>
          </w:p>
          <w:p>
            <w:pPr>
              <w:rPr>
                <w:rFonts w:ascii="宋体" w:hAnsi="宋体"/>
                <w:color w:val="000000"/>
                <w:szCs w:val="21"/>
              </w:rPr>
            </w:pPr>
            <w:r>
              <w:rPr>
                <w:rFonts w:hint="eastAsia" w:ascii="宋体" w:hAnsi="宋体"/>
                <w:color w:val="000000"/>
                <w:szCs w:val="21"/>
              </w:rPr>
              <w:t>未提供项目实施整体方案，得0分。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Align w:val="center"/>
          </w:tcPr>
          <w:p>
            <w:pPr>
              <w:jc w:val="center"/>
              <w:rPr>
                <w:rFonts w:ascii="宋体" w:hAnsi="宋体"/>
                <w:color w:val="000000"/>
                <w:szCs w:val="21"/>
              </w:rPr>
            </w:pPr>
            <w:r>
              <w:rPr>
                <w:rFonts w:hint="eastAsia" w:ascii="宋体" w:hAnsi="宋体"/>
                <w:color w:val="000000"/>
                <w:szCs w:val="21"/>
              </w:rPr>
              <w:t>售后服务</w:t>
            </w:r>
          </w:p>
          <w:p>
            <w:pPr>
              <w:jc w:val="center"/>
              <w:rPr>
                <w:rFonts w:ascii="宋体" w:hAnsi="宋体"/>
                <w:color w:val="000000"/>
                <w:szCs w:val="21"/>
              </w:rPr>
            </w:pPr>
            <w:r>
              <w:rPr>
                <w:rFonts w:hint="eastAsia" w:ascii="宋体" w:hAnsi="宋体"/>
                <w:color w:val="000000"/>
                <w:szCs w:val="21"/>
              </w:rPr>
              <w:t>（5分）</w:t>
            </w:r>
          </w:p>
        </w:tc>
        <w:tc>
          <w:tcPr>
            <w:tcW w:w="0" w:type="auto"/>
            <w:tcBorders>
              <w:top w:val="single" w:color="auto" w:sz="4" w:space="0"/>
            </w:tcBorders>
            <w:tcMar>
              <w:top w:w="15" w:type="dxa"/>
              <w:left w:w="15" w:type="dxa"/>
              <w:bottom w:w="0" w:type="dxa"/>
              <w:right w:w="15" w:type="dxa"/>
            </w:tcMar>
            <w:vAlign w:val="center"/>
          </w:tcPr>
          <w:p>
            <w:pPr>
              <w:pStyle w:val="34"/>
              <w:numPr>
                <w:ilvl w:val="255"/>
                <w:numId w:val="0"/>
              </w:numPr>
            </w:pPr>
            <w:r>
              <w:rPr>
                <w:rFonts w:hint="eastAsia"/>
              </w:rPr>
              <w:t>方案具体全面，有完善的技术支持和服务保障体系，合理性、可行性、针对性均强，故障响应时间优于磋商文件要求，备品备件充足，完全满足磋商文件要求，得5分；</w:t>
            </w:r>
          </w:p>
          <w:p>
            <w:pPr>
              <w:pStyle w:val="34"/>
              <w:numPr>
                <w:ilvl w:val="255"/>
                <w:numId w:val="0"/>
              </w:numPr>
            </w:pPr>
            <w:r>
              <w:rPr>
                <w:rFonts w:hint="eastAsia"/>
              </w:rPr>
              <w:t>方案基本详细，技术支持和服务保障体系基本完善，有备品备件，有可实施性，故障响应时间满足磋商文件要求，得3分；</w:t>
            </w:r>
          </w:p>
          <w:p>
            <w:pPr>
              <w:pStyle w:val="34"/>
              <w:numPr>
                <w:ilvl w:val="255"/>
                <w:numId w:val="0"/>
              </w:numPr>
            </w:pPr>
            <w:r>
              <w:rPr>
                <w:rFonts w:hint="eastAsia"/>
              </w:rPr>
              <w:t>方案简单，合理性、可行性、针对性低，得1分；</w:t>
            </w:r>
          </w:p>
          <w:p>
            <w:pPr>
              <w:pStyle w:val="34"/>
              <w:numPr>
                <w:ilvl w:val="255"/>
                <w:numId w:val="0"/>
              </w:numPr>
              <w:rPr>
                <w:rFonts w:ascii="宋体" w:hAnsi="宋体"/>
                <w:color w:val="000000"/>
                <w:szCs w:val="21"/>
              </w:rPr>
            </w:pPr>
            <w:r>
              <w:rPr>
                <w:rFonts w:hint="eastAsia"/>
              </w:rPr>
              <w:t>未提供或不满足采购要求，得0分。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Align w:val="center"/>
          </w:tcPr>
          <w:p>
            <w:pPr>
              <w:widowControl/>
              <w:ind w:leftChars="-10" w:hanging="21" w:hangingChars="10"/>
              <w:jc w:val="center"/>
              <w:rPr>
                <w:rFonts w:ascii="宋体" w:hAnsi="宋体"/>
                <w:color w:val="000000"/>
                <w:szCs w:val="21"/>
              </w:rPr>
            </w:pPr>
            <w:r>
              <w:rPr>
                <w:rFonts w:hint="eastAsia" w:ascii="宋体" w:hAnsi="宋体"/>
                <w:color w:val="000000"/>
                <w:szCs w:val="21"/>
              </w:rPr>
              <w:t>应急保障措施</w:t>
            </w:r>
          </w:p>
          <w:p>
            <w:pPr>
              <w:widowControl/>
              <w:ind w:leftChars="-10" w:hanging="21" w:hangingChars="10"/>
              <w:jc w:val="center"/>
              <w:rPr>
                <w:rFonts w:ascii="宋体" w:hAnsi="宋体"/>
                <w:color w:val="000000"/>
                <w:szCs w:val="21"/>
              </w:rPr>
            </w:pPr>
            <w:r>
              <w:rPr>
                <w:rFonts w:hint="eastAsia" w:ascii="宋体" w:hAnsi="宋体"/>
                <w:color w:val="000000"/>
                <w:szCs w:val="21"/>
              </w:rPr>
              <w:t>（2分）</w:t>
            </w:r>
          </w:p>
        </w:tc>
        <w:tc>
          <w:tcPr>
            <w:tcW w:w="0" w:type="auto"/>
            <w:tcBorders>
              <w:top w:val="single" w:color="auto" w:sz="4" w:space="0"/>
            </w:tcBorders>
            <w:tcMar>
              <w:top w:w="15" w:type="dxa"/>
              <w:left w:w="15" w:type="dxa"/>
              <w:bottom w:w="0" w:type="dxa"/>
              <w:right w:w="15" w:type="dxa"/>
            </w:tcMar>
            <w:vAlign w:val="center"/>
          </w:tcPr>
          <w:p>
            <w:pPr>
              <w:ind w:leftChars="-10" w:hanging="21" w:hangingChars="10"/>
              <w:jc w:val="left"/>
              <w:rPr>
                <w:rFonts w:ascii="宋体" w:hAnsi="宋体"/>
                <w:color w:val="000000"/>
                <w:szCs w:val="21"/>
              </w:rPr>
            </w:pPr>
            <w:r>
              <w:rPr>
                <w:rFonts w:hint="eastAsia" w:ascii="宋体" w:hAnsi="宋体"/>
                <w:color w:val="000000"/>
                <w:szCs w:val="21"/>
              </w:rPr>
              <w:t>各种突发事件应急流程及措施合理规范，应急管理制度科学完善，针对性强，得2分；</w:t>
            </w:r>
          </w:p>
          <w:p>
            <w:pPr>
              <w:ind w:leftChars="-10" w:hanging="21" w:hangingChars="10"/>
              <w:jc w:val="left"/>
              <w:rPr>
                <w:rFonts w:ascii="宋体" w:hAnsi="宋体"/>
                <w:color w:val="000000"/>
                <w:szCs w:val="21"/>
              </w:rPr>
            </w:pPr>
            <w:r>
              <w:rPr>
                <w:rFonts w:hint="eastAsia" w:ascii="宋体" w:hAnsi="宋体"/>
                <w:color w:val="000000"/>
                <w:szCs w:val="21"/>
              </w:rPr>
              <w:t>各种突发事件应急流程、措施、管理制度内容不完善，针对性低，得1分；</w:t>
            </w:r>
          </w:p>
          <w:p>
            <w:pPr>
              <w:ind w:leftChars="-10" w:hanging="21" w:hangingChars="10"/>
              <w:jc w:val="left"/>
              <w:rPr>
                <w:rFonts w:ascii="宋体" w:hAnsi="宋体"/>
                <w:color w:val="000000"/>
                <w:szCs w:val="21"/>
              </w:rPr>
            </w:pPr>
            <w:r>
              <w:rPr>
                <w:rFonts w:hint="eastAsia" w:ascii="宋体" w:hAnsi="宋体"/>
                <w:color w:val="000000"/>
                <w:szCs w:val="21"/>
              </w:rPr>
              <w:t>未提供或不满足采购要求，得0分。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Align w:val="center"/>
          </w:tcPr>
          <w:p>
            <w:pPr>
              <w:tabs>
                <w:tab w:val="left" w:pos="529"/>
              </w:tabs>
              <w:jc w:val="center"/>
              <w:rPr>
                <w:rFonts w:ascii="宋体" w:hAnsi="宋体"/>
                <w:color w:val="000000"/>
                <w:szCs w:val="21"/>
              </w:rPr>
            </w:pPr>
            <w:r>
              <w:rPr>
                <w:rFonts w:hint="eastAsia" w:ascii="宋体" w:hAnsi="宋体"/>
                <w:color w:val="000000"/>
                <w:szCs w:val="21"/>
              </w:rPr>
              <w:t>培训方案</w:t>
            </w:r>
          </w:p>
          <w:p>
            <w:pPr>
              <w:tabs>
                <w:tab w:val="left" w:pos="529"/>
              </w:tabs>
              <w:jc w:val="cente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分）</w:t>
            </w:r>
          </w:p>
        </w:tc>
        <w:tc>
          <w:tcPr>
            <w:tcW w:w="0" w:type="auto"/>
            <w:tcMar>
              <w:top w:w="15" w:type="dxa"/>
              <w:left w:w="15" w:type="dxa"/>
              <w:bottom w:w="0" w:type="dxa"/>
              <w:right w:w="15" w:type="dxa"/>
            </w:tcMar>
            <w:vAlign w:val="center"/>
          </w:tcPr>
          <w:p>
            <w:r>
              <w:rPr>
                <w:rFonts w:hint="eastAsia"/>
              </w:rPr>
              <w:t>方案科学完整，培训内容丰富，方式科学明确合理，计划完善，针对性强，完全满足采购人需要，得2分；</w:t>
            </w:r>
          </w:p>
          <w:p>
            <w:pPr>
              <w:ind w:leftChars="-10" w:hanging="21" w:hangingChars="10"/>
            </w:pPr>
            <w:r>
              <w:rPr>
                <w:rFonts w:hint="eastAsia"/>
              </w:rPr>
              <w:t>方案合理，培训内容可行，方式单一，满足采购人需要，得1分；</w:t>
            </w:r>
          </w:p>
          <w:p>
            <w:pPr>
              <w:pStyle w:val="34"/>
              <w:ind w:left="0"/>
            </w:pPr>
            <w:r>
              <w:rPr>
                <w:rFonts w:hint="eastAsia"/>
              </w:rPr>
              <w:t>未提供方案或不满足采购要求，得0分。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restart"/>
            <w:tcMar>
              <w:top w:w="15" w:type="dxa"/>
              <w:left w:w="15" w:type="dxa"/>
              <w:bottom w:w="0" w:type="dxa"/>
              <w:right w:w="15" w:type="dxa"/>
            </w:tcMar>
            <w:vAlign w:val="center"/>
          </w:tcPr>
          <w:p>
            <w:r>
              <w:rPr>
                <w:rFonts w:hint="eastAsia"/>
              </w:rPr>
              <w:t>4</w:t>
            </w:r>
          </w:p>
        </w:tc>
        <w:tc>
          <w:tcPr>
            <w:tcW w:w="0" w:type="auto"/>
            <w:vMerge w:val="restart"/>
            <w:tcMar>
              <w:top w:w="15" w:type="dxa"/>
              <w:left w:w="15" w:type="dxa"/>
              <w:bottom w:w="0" w:type="dxa"/>
              <w:right w:w="15" w:type="dxa"/>
            </w:tcMar>
            <w:vAlign w:val="center"/>
          </w:tcPr>
          <w:p>
            <w:pPr>
              <w:jc w:val="center"/>
            </w:pPr>
            <w:r>
              <w:rPr>
                <w:rFonts w:hint="eastAsia"/>
              </w:rPr>
              <w:t>政策执行</w:t>
            </w:r>
          </w:p>
          <w:p>
            <w:pPr>
              <w:jc w:val="center"/>
            </w:pPr>
            <w:r>
              <w:rPr>
                <w:rFonts w:hint="eastAsia"/>
              </w:rPr>
              <w:t>（1</w:t>
            </w:r>
            <w:r>
              <w:rPr>
                <w:rFonts w:hint="eastAsia"/>
                <w:lang w:val="en-US" w:eastAsia="zh-CN"/>
              </w:rPr>
              <w:t>.2</w:t>
            </w:r>
            <w:r>
              <w:rPr>
                <w:rFonts w:hint="eastAsia"/>
              </w:rPr>
              <w:t>分）</w:t>
            </w:r>
          </w:p>
        </w:tc>
        <w:tc>
          <w:tcPr>
            <w:tcW w:w="0" w:type="auto"/>
            <w:vAlign w:val="center"/>
          </w:tcPr>
          <w:p>
            <w:pPr>
              <w:jc w:val="center"/>
            </w:pPr>
            <w:r>
              <w:rPr>
                <w:rFonts w:hint="eastAsia"/>
              </w:rPr>
              <w:t>环保</w:t>
            </w:r>
          </w:p>
          <w:p>
            <w:pPr>
              <w:jc w:val="center"/>
            </w:pPr>
            <w:r>
              <w:rPr>
                <w:rFonts w:hint="eastAsia"/>
              </w:rPr>
              <w:t>（0.</w:t>
            </w:r>
            <w:r>
              <w:rPr>
                <w:rFonts w:hint="eastAsia"/>
                <w:lang w:val="en-US" w:eastAsia="zh-CN"/>
              </w:rPr>
              <w:t>6</w:t>
            </w:r>
            <w:r>
              <w:rPr>
                <w:rFonts w:hint="eastAsia"/>
              </w:rPr>
              <w:t>分）</w:t>
            </w:r>
          </w:p>
        </w:tc>
        <w:tc>
          <w:tcPr>
            <w:tcW w:w="0" w:type="auto"/>
            <w:tcMar>
              <w:top w:w="15" w:type="dxa"/>
              <w:left w:w="15" w:type="dxa"/>
              <w:bottom w:w="0" w:type="dxa"/>
              <w:right w:w="15" w:type="dxa"/>
            </w:tcMar>
            <w:vAlign w:val="center"/>
          </w:tcPr>
          <w:p>
            <w:r>
              <w:rPr>
                <w:rFonts w:hint="eastAsia"/>
              </w:rPr>
              <w:t>除强制环保产品外，供应商提供所投产品属于《环境标志产品政府采购品目清单》的，提供有效的认证证书复印件并加盖本单位公章。每提供一项得0.</w:t>
            </w:r>
            <w:r>
              <w:rPr>
                <w:rFonts w:hint="eastAsia"/>
                <w:lang w:val="en-US" w:eastAsia="zh-CN"/>
              </w:rPr>
              <w:t>3</w:t>
            </w:r>
            <w:r>
              <w:rPr>
                <w:rFonts w:hint="eastAsia"/>
              </w:rPr>
              <w:t>分，最高0.</w:t>
            </w:r>
            <w:r>
              <w:rPr>
                <w:rFonts w:hint="eastAsia"/>
                <w:lang w:val="en-US" w:eastAsia="zh-CN"/>
              </w:rPr>
              <w:t>6</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tc>
        <w:tc>
          <w:tcPr>
            <w:tcW w:w="0" w:type="auto"/>
            <w:vMerge w:val="continue"/>
            <w:tcMar>
              <w:top w:w="15" w:type="dxa"/>
              <w:left w:w="15" w:type="dxa"/>
              <w:bottom w:w="0" w:type="dxa"/>
              <w:right w:w="15" w:type="dxa"/>
            </w:tcMar>
            <w:vAlign w:val="center"/>
          </w:tcPr>
          <w:p>
            <w:pPr>
              <w:jc w:val="center"/>
            </w:pPr>
          </w:p>
        </w:tc>
        <w:tc>
          <w:tcPr>
            <w:tcW w:w="0" w:type="auto"/>
            <w:vAlign w:val="center"/>
          </w:tcPr>
          <w:p>
            <w:pPr>
              <w:jc w:val="center"/>
            </w:pPr>
            <w:r>
              <w:rPr>
                <w:rFonts w:hint="eastAsia"/>
              </w:rPr>
              <w:t>节能</w:t>
            </w:r>
          </w:p>
          <w:p>
            <w:pPr>
              <w:jc w:val="center"/>
            </w:pPr>
            <w:r>
              <w:rPr>
                <w:rFonts w:hint="eastAsia"/>
              </w:rPr>
              <w:t>（0.</w:t>
            </w:r>
            <w:r>
              <w:rPr>
                <w:rFonts w:hint="eastAsia"/>
                <w:lang w:val="en-US" w:eastAsia="zh-CN"/>
              </w:rPr>
              <w:t>6</w:t>
            </w:r>
            <w:r>
              <w:rPr>
                <w:rFonts w:hint="eastAsia"/>
              </w:rPr>
              <w:t>分）</w:t>
            </w:r>
          </w:p>
        </w:tc>
        <w:tc>
          <w:tcPr>
            <w:tcW w:w="0" w:type="auto"/>
            <w:tcMar>
              <w:top w:w="15" w:type="dxa"/>
              <w:left w:w="15" w:type="dxa"/>
              <w:bottom w:w="0" w:type="dxa"/>
              <w:right w:w="15" w:type="dxa"/>
            </w:tcMar>
            <w:vAlign w:val="center"/>
          </w:tcPr>
          <w:p>
            <w:r>
              <w:rPr>
                <w:rFonts w:hint="eastAsia"/>
              </w:rPr>
              <w:t>除强制节能产品外，供应商提供所投产品属于《节能产品政府采购品目清单》的，提供有效的认证证书复印件并加盖本单位公章。每提供一项得0.</w:t>
            </w:r>
            <w:r>
              <w:rPr>
                <w:rFonts w:hint="eastAsia"/>
                <w:lang w:val="en-US" w:eastAsia="zh-CN"/>
              </w:rPr>
              <w:t>3</w:t>
            </w:r>
            <w:r>
              <w:rPr>
                <w:rFonts w:hint="eastAsia"/>
              </w:rPr>
              <w:t>分，最高0.</w:t>
            </w:r>
            <w:r>
              <w:rPr>
                <w:rFonts w:hint="eastAsia"/>
                <w:lang w:val="en-US" w:eastAsia="zh-CN"/>
              </w:rPr>
              <w:t>6</w:t>
            </w:r>
            <w:r>
              <w:rPr>
                <w:rFonts w:hint="eastAsia"/>
              </w:rPr>
              <w:t>分。</w:t>
            </w:r>
          </w:p>
        </w:tc>
      </w:tr>
    </w:tbl>
    <w:p>
      <w:pPr>
        <w:jc w:val="left"/>
        <w:rPr>
          <w:rFonts w:hint="eastAsia" w:ascii="宋体" w:hAnsi="宋体"/>
          <w:sz w:val="24"/>
        </w:rPr>
      </w:pPr>
    </w:p>
    <w:p>
      <w:pPr>
        <w:jc w:val="left"/>
        <w:rPr>
          <w:rFonts w:hint="eastAsia" w:ascii="宋体" w:hAnsi="宋体"/>
          <w:sz w:val="24"/>
        </w:rPr>
      </w:pPr>
    </w:p>
    <w:p>
      <w:pPr>
        <w:rPr>
          <w:rFonts w:ascii="Times New Roman" w:hAnsi="Times New Roman"/>
          <w:b/>
          <w:sz w:val="24"/>
          <w:szCs w:val="24"/>
        </w:rPr>
      </w:pPr>
      <w:r>
        <w:rPr>
          <w:rFonts w:ascii="Times New Roman" w:hAnsi="Times New Roman"/>
          <w:b/>
          <w:sz w:val="24"/>
          <w:szCs w:val="24"/>
        </w:rPr>
        <w:br w:type="page"/>
      </w:r>
    </w:p>
    <w:p>
      <w:pPr>
        <w:pStyle w:val="23"/>
        <w:spacing w:line="360" w:lineRule="auto"/>
        <w:ind w:left="844" w:leftChars="136" w:hanging="559" w:hangingChars="233"/>
        <w:jc w:val="center"/>
        <w:outlineLvl w:val="1"/>
        <w:rPr>
          <w:rFonts w:hint="default" w:ascii="Times New Roman" w:hAnsi="Times New Roman"/>
          <w:b/>
          <w:sz w:val="24"/>
          <w:szCs w:val="24"/>
        </w:rPr>
      </w:pPr>
      <w:r>
        <w:rPr>
          <w:rFonts w:ascii="Times New Roman" w:hAnsi="Times New Roman"/>
          <w:b/>
          <w:sz w:val="24"/>
          <w:szCs w:val="24"/>
        </w:rPr>
        <w:t>02包 专用教室</w:t>
      </w:r>
    </w:p>
    <w:tbl>
      <w:tblPr>
        <w:tblStyle w:val="45"/>
        <w:tblW w:w="9937"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85" w:type="dxa"/>
          <w:bottom w:w="28" w:type="dxa"/>
          <w:right w:w="85" w:type="dxa"/>
        </w:tblCellMar>
      </w:tblPr>
      <w:tblGrid>
        <w:gridCol w:w="317"/>
        <w:gridCol w:w="923"/>
        <w:gridCol w:w="1492"/>
        <w:gridCol w:w="7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tcMar>
              <w:top w:w="15" w:type="dxa"/>
              <w:left w:w="15" w:type="dxa"/>
              <w:bottom w:w="0" w:type="dxa"/>
              <w:right w:w="15" w:type="dxa"/>
            </w:tcMar>
            <w:vAlign w:val="center"/>
          </w:tcPr>
          <w:p>
            <w:pPr>
              <w:jc w:val="center"/>
              <w:rPr>
                <w:rFonts w:ascii="宋体" w:hAnsi="宋体"/>
                <w:b/>
                <w:bCs/>
                <w:color w:val="000000"/>
                <w:szCs w:val="21"/>
              </w:rPr>
            </w:pPr>
            <w:r>
              <w:rPr>
                <w:rFonts w:hint="eastAsia" w:ascii="宋体" w:hAnsi="宋体"/>
                <w:b/>
                <w:bCs/>
                <w:color w:val="000000"/>
                <w:szCs w:val="21"/>
              </w:rPr>
              <w:t>序号</w:t>
            </w:r>
          </w:p>
        </w:tc>
        <w:tc>
          <w:tcPr>
            <w:tcW w:w="0" w:type="auto"/>
            <w:tcMar>
              <w:top w:w="15" w:type="dxa"/>
              <w:left w:w="15" w:type="dxa"/>
              <w:bottom w:w="0" w:type="dxa"/>
              <w:right w:w="15" w:type="dxa"/>
            </w:tcMar>
            <w:vAlign w:val="center"/>
          </w:tcPr>
          <w:p>
            <w:pPr>
              <w:jc w:val="center"/>
              <w:rPr>
                <w:rFonts w:ascii="宋体" w:hAnsi="宋体"/>
                <w:b/>
                <w:bCs/>
                <w:color w:val="000000"/>
                <w:szCs w:val="21"/>
              </w:rPr>
            </w:pPr>
            <w:r>
              <w:rPr>
                <w:rFonts w:hint="eastAsia" w:ascii="宋体" w:hAnsi="宋体"/>
                <w:b/>
                <w:bCs/>
                <w:color w:val="000000"/>
                <w:szCs w:val="21"/>
              </w:rPr>
              <w:t>评审</w:t>
            </w:r>
          </w:p>
          <w:p>
            <w:pPr>
              <w:jc w:val="center"/>
              <w:rPr>
                <w:rFonts w:ascii="宋体" w:hAnsi="宋体"/>
                <w:b/>
                <w:bCs/>
                <w:color w:val="000000"/>
                <w:szCs w:val="21"/>
              </w:rPr>
            </w:pPr>
            <w:r>
              <w:rPr>
                <w:rFonts w:hint="eastAsia" w:ascii="宋体" w:hAnsi="宋体"/>
                <w:b/>
                <w:bCs/>
                <w:color w:val="000000"/>
                <w:szCs w:val="21"/>
              </w:rPr>
              <w:t>条款</w:t>
            </w:r>
          </w:p>
        </w:tc>
        <w:tc>
          <w:tcPr>
            <w:tcW w:w="1492" w:type="dxa"/>
            <w:vAlign w:val="center"/>
          </w:tcPr>
          <w:p>
            <w:pPr>
              <w:jc w:val="center"/>
              <w:rPr>
                <w:rFonts w:ascii="宋体" w:hAnsi="宋体"/>
                <w:b/>
                <w:bCs/>
                <w:color w:val="000000"/>
                <w:szCs w:val="21"/>
              </w:rPr>
            </w:pPr>
            <w:r>
              <w:rPr>
                <w:rFonts w:hint="eastAsia" w:ascii="宋体" w:hAnsi="宋体"/>
                <w:b/>
                <w:bCs/>
                <w:color w:val="000000"/>
                <w:szCs w:val="21"/>
              </w:rPr>
              <w:t>评审项</w:t>
            </w:r>
          </w:p>
        </w:tc>
        <w:tc>
          <w:tcPr>
            <w:tcW w:w="7205" w:type="dxa"/>
            <w:tcMar>
              <w:top w:w="15" w:type="dxa"/>
              <w:left w:w="15" w:type="dxa"/>
              <w:bottom w:w="0" w:type="dxa"/>
              <w:right w:w="15" w:type="dxa"/>
            </w:tcMar>
            <w:vAlign w:val="center"/>
          </w:tcPr>
          <w:p>
            <w:pPr>
              <w:ind w:leftChars="-10" w:hanging="21" w:hangingChars="10"/>
              <w:jc w:val="center"/>
              <w:rPr>
                <w:rFonts w:ascii="宋体" w:hAnsi="宋体"/>
                <w:b/>
                <w:bCs/>
                <w:color w:val="000000"/>
                <w:szCs w:val="21"/>
              </w:rPr>
            </w:pPr>
            <w:r>
              <w:rPr>
                <w:rFonts w:hint="eastAsia" w:ascii="宋体" w:hAnsi="宋体"/>
                <w:b/>
                <w:bCs/>
                <w:color w:val="000000"/>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1</w:t>
            </w:r>
          </w:p>
        </w:tc>
        <w:tc>
          <w:tcPr>
            <w:tcW w:w="0" w:type="auto"/>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投标报价（</w:t>
            </w:r>
            <w:r>
              <w:rPr>
                <w:rFonts w:ascii="宋体" w:hAnsi="宋体"/>
                <w:color w:val="000000"/>
                <w:szCs w:val="21"/>
              </w:rPr>
              <w:t>30</w:t>
            </w:r>
            <w:r>
              <w:rPr>
                <w:rFonts w:hint="eastAsia" w:ascii="宋体" w:hAnsi="宋体"/>
                <w:color w:val="000000"/>
                <w:szCs w:val="21"/>
              </w:rPr>
              <w:t>分）</w:t>
            </w:r>
          </w:p>
        </w:tc>
        <w:tc>
          <w:tcPr>
            <w:tcW w:w="1492" w:type="dxa"/>
            <w:vAlign w:val="center"/>
          </w:tcPr>
          <w:p>
            <w:pPr>
              <w:jc w:val="center"/>
              <w:rPr>
                <w:rFonts w:ascii="宋体" w:hAnsi="宋体"/>
                <w:color w:val="000000"/>
                <w:szCs w:val="21"/>
              </w:rPr>
            </w:pPr>
            <w:r>
              <w:rPr>
                <w:rFonts w:hint="eastAsia" w:ascii="宋体" w:hAnsi="宋体"/>
                <w:color w:val="000000"/>
                <w:szCs w:val="21"/>
              </w:rPr>
              <w:t>价格</w:t>
            </w:r>
          </w:p>
          <w:p>
            <w:pPr>
              <w:jc w:val="cente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0分)</w:t>
            </w:r>
          </w:p>
        </w:tc>
        <w:tc>
          <w:tcPr>
            <w:tcW w:w="7205" w:type="dxa"/>
            <w:tcMar>
              <w:top w:w="15" w:type="dxa"/>
              <w:left w:w="15" w:type="dxa"/>
              <w:bottom w:w="0" w:type="dxa"/>
              <w:right w:w="15" w:type="dxa"/>
            </w:tcMar>
            <w:vAlign w:val="center"/>
          </w:tcPr>
          <w:p>
            <w:pPr>
              <w:widowControl/>
              <w:ind w:leftChars="-10" w:hanging="21" w:hangingChars="10"/>
              <w:rPr>
                <w:rFonts w:ascii="宋体" w:hAnsi="宋体"/>
                <w:color w:val="000000"/>
                <w:szCs w:val="21"/>
              </w:rPr>
            </w:pPr>
            <w:r>
              <w:rPr>
                <w:rFonts w:hint="eastAsia"/>
              </w:rPr>
              <w:t>实质性响应</w:t>
            </w:r>
            <w:r>
              <w:rPr>
                <w:rFonts w:hint="eastAsia" w:ascii="宋体" w:hAnsi="宋体"/>
                <w:color w:val="000000"/>
                <w:szCs w:val="21"/>
              </w:rPr>
              <w:t>磋商文件要求且最后报价最低的</w:t>
            </w:r>
            <w:r>
              <w:rPr>
                <w:rFonts w:hint="eastAsia"/>
              </w:rPr>
              <w:t>供应商的价格</w:t>
            </w:r>
            <w:r>
              <w:rPr>
                <w:rFonts w:hint="eastAsia" w:ascii="宋体" w:hAnsi="宋体"/>
                <w:color w:val="000000"/>
                <w:szCs w:val="21"/>
              </w:rPr>
              <w:t>为磋商基准价，其价格分为满分。其他供应商的价格分统一按照下列公式计算：</w:t>
            </w:r>
          </w:p>
          <w:p>
            <w:pPr>
              <w:widowControl/>
              <w:ind w:leftChars="-10" w:hanging="21" w:hangingChars="10"/>
              <w:rPr>
                <w:rFonts w:ascii="宋体" w:hAnsi="宋体"/>
                <w:color w:val="000000"/>
                <w:szCs w:val="21"/>
              </w:rPr>
            </w:pPr>
            <w:r>
              <w:rPr>
                <w:rFonts w:hint="eastAsia"/>
              </w:rPr>
              <w:t>磋商</w:t>
            </w:r>
            <w:r>
              <w:rPr>
                <w:rFonts w:hint="eastAsia" w:ascii="宋体" w:hAnsi="宋体"/>
                <w:color w:val="000000"/>
                <w:szCs w:val="21"/>
              </w:rPr>
              <w:t>报价得分=（</w:t>
            </w:r>
            <w:r>
              <w:rPr>
                <w:rFonts w:hint="eastAsia"/>
              </w:rPr>
              <w:t>磋商</w:t>
            </w:r>
            <w:r>
              <w:rPr>
                <w:rFonts w:hint="eastAsia" w:ascii="宋体" w:hAnsi="宋体"/>
                <w:color w:val="000000"/>
                <w:szCs w:val="21"/>
              </w:rPr>
              <w:t>基准价/</w:t>
            </w:r>
            <w:r>
              <w:rPr>
                <w:rFonts w:hint="eastAsia"/>
              </w:rPr>
              <w:t>最后磋商</w:t>
            </w:r>
            <w:r>
              <w:rPr>
                <w:rFonts w:hint="eastAsia" w:ascii="宋体" w:hAnsi="宋体"/>
                <w:color w:val="000000"/>
                <w:szCs w:val="21"/>
              </w:rPr>
              <w:t>报价）×</w:t>
            </w:r>
            <w:r>
              <w:rPr>
                <w:rFonts w:ascii="宋体" w:hAnsi="宋体"/>
                <w:color w:val="000000"/>
                <w:szCs w:val="21"/>
              </w:rPr>
              <w:t>3</w:t>
            </w:r>
            <w:r>
              <w:rPr>
                <w:rFonts w:hint="eastAsia" w:ascii="宋体" w:hAnsi="宋体"/>
                <w:color w:val="000000"/>
                <w:szCs w:val="21"/>
              </w:rPr>
              <w:t>0</w:t>
            </w:r>
          </w:p>
          <w:p>
            <w:pPr>
              <w:pStyle w:val="34"/>
              <w:ind w:left="0"/>
            </w:pPr>
            <w:r>
              <w:rPr>
                <w:rFonts w:hint="eastAsia"/>
              </w:rPr>
              <w:t>注：1.计算分数时四舍五入取小数点后两位；</w:t>
            </w:r>
          </w:p>
          <w:p>
            <w:pPr>
              <w:widowControl/>
              <w:ind w:firstLine="420" w:firstLineChars="200"/>
              <w:rPr>
                <w:rFonts w:ascii="宋体" w:hAnsi="宋体"/>
                <w:color w:val="000000"/>
                <w:szCs w:val="21"/>
              </w:rPr>
            </w:pPr>
            <w:r>
              <w:rPr>
                <w:rFonts w:hint="eastAsia"/>
              </w:rPr>
              <w:t>2.供应商最后报价低于成本的除外；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2</w:t>
            </w:r>
          </w:p>
        </w:tc>
        <w:tc>
          <w:tcPr>
            <w:tcW w:w="0" w:type="auto"/>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商务部分（2分）</w:t>
            </w:r>
          </w:p>
        </w:tc>
        <w:tc>
          <w:tcPr>
            <w:tcW w:w="1492" w:type="dxa"/>
            <w:vAlign w:val="center"/>
          </w:tcPr>
          <w:p>
            <w:pPr>
              <w:jc w:val="center"/>
              <w:rPr>
                <w:rFonts w:ascii="宋体" w:hAnsi="宋体" w:cs="宋体"/>
                <w:szCs w:val="21"/>
              </w:rPr>
            </w:pPr>
            <w:r>
              <w:rPr>
                <w:rFonts w:hint="eastAsia" w:ascii="宋体" w:hAnsi="宋体" w:cs="宋体"/>
                <w:szCs w:val="21"/>
              </w:rPr>
              <w:t>相关业绩</w:t>
            </w:r>
          </w:p>
          <w:p>
            <w:pPr>
              <w:jc w:val="center"/>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分）</w:t>
            </w:r>
          </w:p>
        </w:tc>
        <w:tc>
          <w:tcPr>
            <w:tcW w:w="7205" w:type="dxa"/>
            <w:tcMar>
              <w:top w:w="15" w:type="dxa"/>
              <w:left w:w="15" w:type="dxa"/>
              <w:bottom w:w="0" w:type="dxa"/>
              <w:right w:w="15" w:type="dxa"/>
            </w:tcMar>
            <w:vAlign w:val="center"/>
          </w:tcPr>
          <w:p>
            <w:pPr>
              <w:ind w:leftChars="-10" w:hanging="21" w:hangingChars="10"/>
            </w:pPr>
            <w:r>
              <w:rPr>
                <w:rFonts w:hint="eastAsia"/>
              </w:rPr>
              <w:t>供应商需提供供应商自20</w:t>
            </w:r>
            <w:r>
              <w:t>20</w:t>
            </w:r>
            <w:r>
              <w:rPr>
                <w:rFonts w:hint="eastAsia"/>
              </w:rPr>
              <w:t>年7月至20</w:t>
            </w:r>
            <w:r>
              <w:t>23</w:t>
            </w:r>
            <w:r>
              <w:rPr>
                <w:rFonts w:hint="eastAsia"/>
              </w:rPr>
              <w:t>年7月完成的与本项目相似或相近的同类项目业绩。需提供合同复印件（至少包含：合同首页、清单页和买卖双方签字页）并加盖供应商公章。</w:t>
            </w:r>
          </w:p>
          <w:p>
            <w:pPr>
              <w:ind w:leftChars="-10" w:hanging="21" w:hangingChars="10"/>
            </w:pPr>
            <w:r>
              <w:rPr>
                <w:rFonts w:hint="eastAsia"/>
              </w:rPr>
              <w:t>每提供一份有效业绩得</w:t>
            </w:r>
            <w:r>
              <w:t>1</w:t>
            </w:r>
            <w:r>
              <w:rPr>
                <w:rFonts w:hint="eastAsia"/>
              </w:rPr>
              <w:t>分，最高得</w:t>
            </w:r>
            <w:r>
              <w:t>2</w:t>
            </w:r>
            <w:r>
              <w:rPr>
                <w:rFonts w:hint="eastAsia"/>
              </w:rPr>
              <w:t>分。</w:t>
            </w:r>
          </w:p>
          <w:p>
            <w:pPr>
              <w:pStyle w:val="34"/>
              <w:ind w:left="0"/>
            </w:pPr>
            <w:r>
              <w:rPr>
                <w:rFonts w:hint="eastAsia" w:asciiTheme="minorHAnsi" w:hAnsiTheme="minorHAnsi" w:eastAsiaTheme="minorEastAsia" w:cstheme="minorBidi"/>
                <w:szCs w:val="22"/>
              </w:rPr>
              <w:t>未提供或者证明材料不完整清晰或内容无关联的不得分。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restart"/>
            <w:tcMar>
              <w:top w:w="15" w:type="dxa"/>
              <w:left w:w="15" w:type="dxa"/>
              <w:bottom w:w="0" w:type="dxa"/>
              <w:right w:w="15" w:type="dxa"/>
            </w:tcMar>
            <w:vAlign w:val="center"/>
          </w:tcPr>
          <w:p>
            <w:pPr>
              <w:jc w:val="center"/>
              <w:rPr>
                <w:rFonts w:ascii="宋体" w:hAnsi="宋体"/>
                <w:color w:val="000000"/>
                <w:szCs w:val="21"/>
              </w:rPr>
            </w:pPr>
            <w:r>
              <w:rPr>
                <w:rFonts w:ascii="宋体" w:hAnsi="宋体"/>
                <w:color w:val="000000"/>
                <w:szCs w:val="21"/>
              </w:rPr>
              <w:t>3</w:t>
            </w:r>
          </w:p>
        </w:tc>
        <w:tc>
          <w:tcPr>
            <w:tcW w:w="0" w:type="auto"/>
            <w:vMerge w:val="restart"/>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技术</w:t>
            </w:r>
          </w:p>
          <w:p>
            <w:pPr>
              <w:jc w:val="center"/>
              <w:rPr>
                <w:rFonts w:hint="eastAsia" w:ascii="宋体" w:hAnsi="宋体"/>
                <w:color w:val="000000"/>
                <w:szCs w:val="21"/>
              </w:rPr>
            </w:pPr>
            <w:r>
              <w:rPr>
                <w:rFonts w:hint="eastAsia" w:ascii="宋体" w:hAnsi="宋体"/>
                <w:color w:val="000000"/>
                <w:szCs w:val="21"/>
              </w:rPr>
              <w:t>部分</w:t>
            </w:r>
          </w:p>
          <w:p>
            <w:pPr>
              <w:jc w:val="center"/>
              <w:rPr>
                <w:rFonts w:ascii="宋体" w:hAnsi="宋体"/>
                <w:color w:val="000000"/>
                <w:szCs w:val="21"/>
              </w:rPr>
            </w:pPr>
            <w:r>
              <w:rPr>
                <w:rFonts w:hint="eastAsia" w:ascii="宋体" w:hAnsi="宋体"/>
                <w:color w:val="000000"/>
                <w:szCs w:val="21"/>
              </w:rPr>
              <w:t>（67分）</w:t>
            </w:r>
          </w:p>
        </w:tc>
        <w:tc>
          <w:tcPr>
            <w:tcW w:w="1492" w:type="dxa"/>
            <w:shd w:val="clear" w:color="auto" w:fill="FFFFFF" w:themeFill="background1"/>
            <w:vAlign w:val="center"/>
          </w:tcPr>
          <w:p>
            <w:pPr>
              <w:widowControl/>
              <w:jc w:val="center"/>
              <w:rPr>
                <w:rFonts w:ascii="宋体" w:hAnsi="宋体"/>
                <w:color w:val="000000"/>
                <w:szCs w:val="21"/>
              </w:rPr>
            </w:pPr>
            <w:r>
              <w:rPr>
                <w:rFonts w:hint="eastAsia" w:ascii="宋体" w:hAnsi="宋体"/>
                <w:color w:val="000000"/>
                <w:szCs w:val="21"/>
              </w:rPr>
              <w:t>参数响应</w:t>
            </w:r>
          </w:p>
          <w:p>
            <w:pPr>
              <w:widowControl/>
              <w:jc w:val="center"/>
              <w:rPr>
                <w:rFonts w:ascii="宋体" w:hAnsi="宋体"/>
                <w:color w:val="000000"/>
                <w:szCs w:val="21"/>
              </w:rPr>
            </w:pPr>
            <w:r>
              <w:rPr>
                <w:rFonts w:hint="eastAsia" w:ascii="宋体" w:hAnsi="宋体"/>
                <w:color w:val="000000"/>
                <w:szCs w:val="21"/>
              </w:rPr>
              <w:t>(44分)</w:t>
            </w:r>
          </w:p>
        </w:tc>
        <w:tc>
          <w:tcPr>
            <w:tcW w:w="7205" w:type="dxa"/>
            <w:tcBorders>
              <w:bottom w:val="single" w:color="auto" w:sz="4" w:space="0"/>
            </w:tcBorders>
            <w:shd w:val="clear" w:color="auto" w:fill="FFFFFF" w:themeFill="background1"/>
            <w:tcMar>
              <w:top w:w="15" w:type="dxa"/>
              <w:left w:w="15" w:type="dxa"/>
              <w:bottom w:w="0" w:type="dxa"/>
              <w:right w:w="15" w:type="dxa"/>
            </w:tcMar>
            <w:vAlign w:val="center"/>
          </w:tcPr>
          <w:p>
            <w:pPr>
              <w:ind w:leftChars="-10" w:hanging="21" w:hangingChars="10"/>
              <w:rPr>
                <w:b/>
                <w:bCs/>
              </w:rPr>
            </w:pPr>
            <w:r>
              <w:rPr>
                <w:rFonts w:hint="eastAsia"/>
                <w:b/>
                <w:bCs/>
              </w:rPr>
              <w:t>供应商对照</w:t>
            </w:r>
            <w:r>
              <w:rPr>
                <w:rFonts w:hint="eastAsia"/>
                <w:b/>
                <w:bCs/>
                <w:lang w:val="en-US" w:eastAsia="zh-CN"/>
              </w:rPr>
              <w:t>磋商</w:t>
            </w:r>
            <w:r>
              <w:rPr>
                <w:rFonts w:hint="eastAsia"/>
                <w:b/>
                <w:bCs/>
              </w:rPr>
              <w:t>文件的“技术要求”要求逐条做出应答：</w:t>
            </w:r>
          </w:p>
          <w:p>
            <w:pPr>
              <w:ind w:leftChars="-10" w:hanging="21" w:hangingChars="10"/>
            </w:pPr>
            <w:r>
              <w:rPr>
                <w:rFonts w:hint="eastAsia"/>
              </w:rPr>
              <w:t>#为重要性能指标参数、无标识为一般性能参数。投标产品的技术性能完全满足磋商文件技术需求得44分；</w:t>
            </w:r>
          </w:p>
          <w:p>
            <w:pPr>
              <w:ind w:leftChars="-10" w:hanging="21" w:hangingChars="10"/>
            </w:pPr>
            <w:r>
              <w:rPr>
                <w:rFonts w:hint="eastAsia"/>
              </w:rPr>
              <w:t>（#号重要性能指标参数，共9项；一般性能参数共61项）</w:t>
            </w:r>
          </w:p>
          <w:p>
            <w:pPr>
              <w:ind w:leftChars="-10" w:hanging="21" w:hangingChars="10"/>
            </w:pPr>
            <w:r>
              <w:rPr>
                <w:rFonts w:hint="eastAsia"/>
              </w:rPr>
              <w:t>“#”号参数，每有一项负偏离，扣1.5分；</w:t>
            </w:r>
          </w:p>
          <w:p>
            <w:pPr>
              <w:ind w:leftChars="-10" w:hanging="21" w:hangingChars="10"/>
            </w:pPr>
            <w:r>
              <w:rPr>
                <w:rFonts w:hint="eastAsia"/>
              </w:rPr>
              <w:t>一般性能参数，每有一项负偏离，每项扣0.5分，扣完为止；</w:t>
            </w:r>
          </w:p>
          <w:p>
            <w:pPr>
              <w:ind w:leftChars="-10" w:hanging="21" w:hangingChars="10"/>
            </w:pPr>
            <w:r>
              <w:rPr>
                <w:rFonts w:hint="eastAsia"/>
              </w:rPr>
              <w:t>技术要求中要求提供证明材料的，未提供或提供不完整、不清晰均视为不满足。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1492" w:type="dxa"/>
            <w:shd w:val="clear" w:color="auto" w:fill="FFFFFF" w:themeFill="background1"/>
            <w:vAlign w:val="center"/>
          </w:tcPr>
          <w:p>
            <w:pPr>
              <w:ind w:leftChars="-10" w:hanging="21" w:hangingChars="10"/>
              <w:jc w:val="center"/>
            </w:pPr>
            <w:r>
              <w:rPr>
                <w:rFonts w:hint="eastAsia"/>
              </w:rPr>
              <w:t>项目供货及安装、调试方案</w:t>
            </w:r>
          </w:p>
          <w:p>
            <w:pPr>
              <w:ind w:leftChars="-10" w:hanging="21" w:hangingChars="10"/>
              <w:jc w:val="center"/>
            </w:pPr>
            <w:r>
              <w:rPr>
                <w:rFonts w:hint="eastAsia"/>
              </w:rPr>
              <w:t>（4分）</w:t>
            </w:r>
          </w:p>
        </w:tc>
        <w:tc>
          <w:tcPr>
            <w:tcW w:w="7205" w:type="dxa"/>
            <w:tcBorders>
              <w:bottom w:val="single" w:color="auto" w:sz="4" w:space="0"/>
            </w:tcBorders>
            <w:shd w:val="clear" w:color="auto" w:fill="FFFFFF" w:themeFill="background1"/>
            <w:tcMar>
              <w:top w:w="15" w:type="dxa"/>
              <w:left w:w="15" w:type="dxa"/>
              <w:bottom w:w="0" w:type="dxa"/>
              <w:right w:w="15" w:type="dxa"/>
            </w:tcMar>
            <w:vAlign w:val="center"/>
          </w:tcPr>
          <w:p>
            <w:pPr>
              <w:ind w:leftChars="-10" w:hanging="21" w:hangingChars="10"/>
            </w:pPr>
            <w:r>
              <w:rPr>
                <w:rFonts w:hint="eastAsia"/>
              </w:rPr>
              <w:t>方案详细完善、合理可行、针对性强，进度计划安排合理，完全能够保障项目实施，得4分；</w:t>
            </w:r>
          </w:p>
          <w:p>
            <w:pPr>
              <w:ind w:leftChars="-10" w:hanging="21" w:hangingChars="10"/>
            </w:pPr>
            <w:r>
              <w:rPr>
                <w:rFonts w:hint="eastAsia"/>
              </w:rPr>
              <w:t>方案基本完善，进度安排基本合理、针对性低，能够保障项目实施，得2分；</w:t>
            </w:r>
          </w:p>
          <w:p>
            <w:pPr>
              <w:ind w:leftChars="-10" w:hanging="21" w:hangingChars="10"/>
            </w:pPr>
            <w:r>
              <w:rPr>
                <w:rFonts w:hint="eastAsia"/>
              </w:rPr>
              <w:t>方案有缺失，合理性低，不能够保障项目实施，得1分；</w:t>
            </w:r>
          </w:p>
          <w:p>
            <w:pPr>
              <w:ind w:leftChars="-10" w:hanging="21" w:hangingChars="10"/>
            </w:pPr>
            <w:r>
              <w:rPr>
                <w:rFonts w:hint="eastAsia"/>
              </w:rPr>
              <w:t>不满足采购要求或未提供，得0分。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1492" w:type="dxa"/>
            <w:tcBorders>
              <w:right w:val="single" w:color="auto" w:sz="4" w:space="0"/>
            </w:tcBorders>
            <w:vAlign w:val="center"/>
          </w:tcPr>
          <w:p>
            <w:pPr>
              <w:jc w:val="center"/>
              <w:rPr>
                <w:rFonts w:ascii="宋体" w:hAnsi="宋体"/>
                <w:color w:val="000000"/>
                <w:szCs w:val="21"/>
              </w:rPr>
            </w:pPr>
            <w:r>
              <w:rPr>
                <w:rFonts w:hint="eastAsia" w:ascii="宋体" w:hAnsi="宋体"/>
                <w:color w:val="000000"/>
                <w:szCs w:val="21"/>
              </w:rPr>
              <w:t>项目实施方案（10分）</w:t>
            </w:r>
          </w:p>
        </w:tc>
        <w:tc>
          <w:tcPr>
            <w:tcW w:w="72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rPr>
                <w:rFonts w:ascii="宋体" w:hAnsi="宋体"/>
                <w:color w:val="000000"/>
                <w:szCs w:val="21"/>
              </w:rPr>
            </w:pPr>
            <w:r>
              <w:rPr>
                <w:rFonts w:hint="eastAsia" w:ascii="宋体" w:hAnsi="宋体"/>
                <w:color w:val="000000"/>
                <w:szCs w:val="21"/>
              </w:rPr>
              <w:t>实施方案包括：质量保证、人员配备、进度安排、实施管理及保障、施工方案等。</w:t>
            </w:r>
          </w:p>
          <w:p>
            <w:pPr>
              <w:widowControl/>
              <w:rPr>
                <w:rFonts w:ascii="宋体" w:hAnsi="宋体"/>
                <w:color w:val="000000"/>
                <w:szCs w:val="21"/>
              </w:rPr>
            </w:pPr>
            <w:r>
              <w:rPr>
                <w:rFonts w:hint="eastAsia" w:ascii="宋体" w:hAnsi="宋体"/>
                <w:color w:val="000000"/>
                <w:szCs w:val="21"/>
              </w:rPr>
              <w:t>方案设计合理、条理清晰、内容全面专业，可实施性及针对性强，整体规划合理，完全符合项目需求，得10分；</w:t>
            </w:r>
          </w:p>
          <w:p>
            <w:pPr>
              <w:widowControl/>
              <w:rPr>
                <w:rFonts w:ascii="宋体" w:hAnsi="宋体"/>
                <w:color w:val="000000"/>
                <w:szCs w:val="21"/>
              </w:rPr>
            </w:pPr>
            <w:r>
              <w:rPr>
                <w:rFonts w:hint="eastAsia" w:ascii="宋体" w:hAnsi="宋体"/>
                <w:color w:val="000000"/>
                <w:szCs w:val="21"/>
              </w:rPr>
              <w:t>方案设计基本合理、条理基本清晰、内容基本完善，针对性低，基本符合项目需求，得7分；</w:t>
            </w:r>
          </w:p>
          <w:p>
            <w:pPr>
              <w:widowControl/>
              <w:rPr>
                <w:rFonts w:ascii="宋体" w:hAnsi="宋体"/>
                <w:color w:val="000000"/>
                <w:szCs w:val="21"/>
              </w:rPr>
            </w:pPr>
            <w:r>
              <w:rPr>
                <w:rFonts w:hint="eastAsia" w:ascii="宋体" w:hAnsi="宋体"/>
                <w:color w:val="000000"/>
                <w:szCs w:val="21"/>
              </w:rPr>
              <w:t>方案设计可行性低、条理不够清晰、内容不够全面专业，无针对性，得3分；</w:t>
            </w:r>
          </w:p>
          <w:p>
            <w:pPr>
              <w:widowControl/>
              <w:rPr>
                <w:rFonts w:ascii="宋体" w:hAnsi="宋体"/>
                <w:color w:val="000000"/>
                <w:szCs w:val="21"/>
              </w:rPr>
            </w:pPr>
            <w:r>
              <w:rPr>
                <w:rFonts w:hint="eastAsia" w:ascii="宋体" w:hAnsi="宋体"/>
                <w:color w:val="000000"/>
                <w:szCs w:val="21"/>
              </w:rPr>
              <w:t>方案设计有缺失，合理性低，不能够保障项目实施，得1分；</w:t>
            </w:r>
          </w:p>
          <w:p>
            <w:pPr>
              <w:rPr>
                <w:rFonts w:ascii="宋体" w:hAnsi="宋体"/>
                <w:color w:val="000000"/>
                <w:szCs w:val="21"/>
              </w:rPr>
            </w:pPr>
            <w:r>
              <w:rPr>
                <w:rFonts w:hint="eastAsia" w:ascii="宋体" w:hAnsi="宋体"/>
                <w:color w:val="000000"/>
                <w:szCs w:val="21"/>
              </w:rPr>
              <w:t>未提供项目实施整体方案，得0分。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1492" w:type="dxa"/>
            <w:vAlign w:val="center"/>
          </w:tcPr>
          <w:p>
            <w:pPr>
              <w:jc w:val="center"/>
              <w:rPr>
                <w:rFonts w:ascii="宋体" w:hAnsi="宋体"/>
                <w:color w:val="000000"/>
                <w:szCs w:val="21"/>
              </w:rPr>
            </w:pPr>
            <w:r>
              <w:rPr>
                <w:rFonts w:hint="eastAsia" w:ascii="宋体" w:hAnsi="宋体"/>
                <w:color w:val="000000"/>
                <w:szCs w:val="21"/>
              </w:rPr>
              <w:t>售后服务</w:t>
            </w:r>
          </w:p>
          <w:p>
            <w:pPr>
              <w:jc w:val="center"/>
              <w:rPr>
                <w:rFonts w:ascii="宋体" w:hAnsi="宋体"/>
                <w:color w:val="000000"/>
                <w:szCs w:val="21"/>
              </w:rPr>
            </w:pPr>
            <w:r>
              <w:rPr>
                <w:rFonts w:hint="eastAsia" w:ascii="宋体" w:hAnsi="宋体"/>
                <w:color w:val="000000"/>
                <w:szCs w:val="21"/>
              </w:rPr>
              <w:t>（5分）</w:t>
            </w:r>
          </w:p>
        </w:tc>
        <w:tc>
          <w:tcPr>
            <w:tcW w:w="7205" w:type="dxa"/>
            <w:tcBorders>
              <w:top w:val="single" w:color="auto" w:sz="4" w:space="0"/>
            </w:tcBorders>
            <w:tcMar>
              <w:top w:w="15" w:type="dxa"/>
              <w:left w:w="15" w:type="dxa"/>
              <w:bottom w:w="0" w:type="dxa"/>
              <w:right w:w="15" w:type="dxa"/>
            </w:tcMar>
            <w:vAlign w:val="center"/>
          </w:tcPr>
          <w:p>
            <w:pPr>
              <w:pStyle w:val="34"/>
              <w:numPr>
                <w:ilvl w:val="255"/>
                <w:numId w:val="0"/>
              </w:numPr>
            </w:pPr>
            <w:r>
              <w:rPr>
                <w:rFonts w:hint="eastAsia"/>
              </w:rPr>
              <w:t>方案具体全面，有完善的技术支持和服务保障体系，合理性、可行性、针对性均强，故障响应时间优于磋商文件要求，备品备件充足，完全满足磋商文件要求，得5分；</w:t>
            </w:r>
          </w:p>
          <w:p>
            <w:pPr>
              <w:pStyle w:val="34"/>
              <w:numPr>
                <w:ilvl w:val="255"/>
                <w:numId w:val="0"/>
              </w:numPr>
            </w:pPr>
            <w:r>
              <w:rPr>
                <w:rFonts w:hint="eastAsia"/>
              </w:rPr>
              <w:t>方案基本详细，技术支持和服务保障体系基本完善，有备品备件，有可实施性，故障响应时间满足磋商文件要求，得3分；</w:t>
            </w:r>
          </w:p>
          <w:p>
            <w:pPr>
              <w:pStyle w:val="34"/>
              <w:numPr>
                <w:ilvl w:val="255"/>
                <w:numId w:val="0"/>
              </w:numPr>
            </w:pPr>
            <w:r>
              <w:rPr>
                <w:rFonts w:hint="eastAsia"/>
              </w:rPr>
              <w:t>方案简单，合理性、可行性、针对性低，得1分；</w:t>
            </w:r>
          </w:p>
          <w:p>
            <w:pPr>
              <w:pStyle w:val="34"/>
              <w:numPr>
                <w:ilvl w:val="255"/>
                <w:numId w:val="0"/>
              </w:numPr>
              <w:rPr>
                <w:rFonts w:ascii="宋体" w:hAnsi="宋体"/>
                <w:color w:val="000000"/>
                <w:szCs w:val="21"/>
              </w:rPr>
            </w:pPr>
            <w:r>
              <w:rPr>
                <w:rFonts w:hint="eastAsia"/>
              </w:rPr>
              <w:t>未提供或不满足采购要求，得0分。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1492" w:type="dxa"/>
            <w:vAlign w:val="center"/>
          </w:tcPr>
          <w:p>
            <w:pPr>
              <w:widowControl/>
              <w:ind w:leftChars="-10" w:hanging="21" w:hangingChars="10"/>
              <w:jc w:val="left"/>
              <w:rPr>
                <w:rFonts w:ascii="宋体" w:hAnsi="宋体"/>
                <w:color w:val="000000"/>
                <w:szCs w:val="21"/>
              </w:rPr>
            </w:pPr>
            <w:r>
              <w:rPr>
                <w:rFonts w:hint="eastAsia" w:ascii="宋体" w:hAnsi="宋体"/>
                <w:color w:val="000000"/>
                <w:szCs w:val="21"/>
              </w:rPr>
              <w:t>应急保障措施</w:t>
            </w:r>
          </w:p>
          <w:p>
            <w:pPr>
              <w:widowControl/>
              <w:ind w:leftChars="-10" w:hanging="21" w:hangingChars="10"/>
              <w:jc w:val="center"/>
              <w:rPr>
                <w:rFonts w:ascii="宋体" w:hAnsi="宋体"/>
                <w:color w:val="000000"/>
                <w:szCs w:val="21"/>
              </w:rPr>
            </w:pPr>
            <w:r>
              <w:rPr>
                <w:rFonts w:hint="eastAsia" w:ascii="宋体" w:hAnsi="宋体"/>
                <w:color w:val="000000"/>
                <w:szCs w:val="21"/>
              </w:rPr>
              <w:t>（2分）</w:t>
            </w:r>
          </w:p>
        </w:tc>
        <w:tc>
          <w:tcPr>
            <w:tcW w:w="7205" w:type="dxa"/>
            <w:tcBorders>
              <w:top w:val="single" w:color="auto" w:sz="4" w:space="0"/>
            </w:tcBorders>
            <w:tcMar>
              <w:top w:w="15" w:type="dxa"/>
              <w:left w:w="15" w:type="dxa"/>
              <w:bottom w:w="0" w:type="dxa"/>
              <w:right w:w="15" w:type="dxa"/>
            </w:tcMar>
            <w:vAlign w:val="center"/>
          </w:tcPr>
          <w:p>
            <w:pPr>
              <w:ind w:leftChars="-10" w:hanging="21" w:hangingChars="10"/>
              <w:jc w:val="left"/>
              <w:rPr>
                <w:rFonts w:ascii="宋体" w:hAnsi="宋体"/>
                <w:color w:val="000000"/>
                <w:szCs w:val="21"/>
              </w:rPr>
            </w:pPr>
            <w:r>
              <w:rPr>
                <w:rFonts w:hint="eastAsia" w:ascii="宋体" w:hAnsi="宋体"/>
                <w:color w:val="000000"/>
                <w:szCs w:val="21"/>
              </w:rPr>
              <w:t>各种突发事件应急流程及措施合理规范，应急管理制度科学完善，针对性强，得2分；</w:t>
            </w:r>
          </w:p>
          <w:p>
            <w:pPr>
              <w:ind w:leftChars="-10" w:hanging="21" w:hangingChars="10"/>
              <w:jc w:val="left"/>
              <w:rPr>
                <w:rFonts w:ascii="宋体" w:hAnsi="宋体"/>
                <w:color w:val="000000"/>
                <w:szCs w:val="21"/>
              </w:rPr>
            </w:pPr>
            <w:r>
              <w:rPr>
                <w:rFonts w:hint="eastAsia" w:ascii="宋体" w:hAnsi="宋体"/>
                <w:color w:val="000000"/>
                <w:szCs w:val="21"/>
              </w:rPr>
              <w:t>各种突发事件应急流程、措施、管理制度内容不完善，针对性低，得1分；</w:t>
            </w:r>
          </w:p>
          <w:p>
            <w:pPr>
              <w:ind w:leftChars="-10" w:hanging="21" w:hangingChars="10"/>
              <w:jc w:val="left"/>
              <w:rPr>
                <w:rFonts w:ascii="宋体" w:hAnsi="宋体"/>
                <w:color w:val="000000"/>
                <w:szCs w:val="21"/>
              </w:rPr>
            </w:pPr>
            <w:r>
              <w:rPr>
                <w:rFonts w:hint="eastAsia" w:ascii="宋体" w:hAnsi="宋体"/>
                <w:color w:val="000000"/>
                <w:szCs w:val="21"/>
              </w:rPr>
              <w:t>未提供或不满足采购要求，得0分。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1492" w:type="dxa"/>
            <w:vAlign w:val="center"/>
          </w:tcPr>
          <w:p>
            <w:pPr>
              <w:tabs>
                <w:tab w:val="left" w:pos="529"/>
              </w:tabs>
              <w:jc w:val="center"/>
              <w:rPr>
                <w:rFonts w:ascii="宋体" w:hAnsi="宋体"/>
                <w:color w:val="000000"/>
                <w:szCs w:val="21"/>
              </w:rPr>
            </w:pPr>
            <w:r>
              <w:rPr>
                <w:rFonts w:hint="eastAsia" w:ascii="宋体" w:hAnsi="宋体"/>
                <w:color w:val="000000"/>
                <w:szCs w:val="21"/>
              </w:rPr>
              <w:t>培训方案</w:t>
            </w:r>
          </w:p>
          <w:p>
            <w:pPr>
              <w:tabs>
                <w:tab w:val="left" w:pos="529"/>
              </w:tabs>
              <w:jc w:val="cente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分）</w:t>
            </w:r>
          </w:p>
        </w:tc>
        <w:tc>
          <w:tcPr>
            <w:tcW w:w="7205" w:type="dxa"/>
            <w:tcMar>
              <w:top w:w="15" w:type="dxa"/>
              <w:left w:w="15" w:type="dxa"/>
              <w:bottom w:w="0" w:type="dxa"/>
              <w:right w:w="15" w:type="dxa"/>
            </w:tcMar>
            <w:vAlign w:val="center"/>
          </w:tcPr>
          <w:p>
            <w:r>
              <w:rPr>
                <w:rFonts w:hint="eastAsia"/>
              </w:rPr>
              <w:t>方案科学完整，培训内容丰富，方式科学明确合理，计划完善，针对性强，完全满足采购人需要，得2分；</w:t>
            </w:r>
          </w:p>
          <w:p>
            <w:pPr>
              <w:ind w:leftChars="-10" w:hanging="21" w:hangingChars="10"/>
            </w:pPr>
            <w:r>
              <w:rPr>
                <w:rFonts w:hint="eastAsia"/>
              </w:rPr>
              <w:t>方案合理，培训内容可行，方式单一，满足采购人需要，得1分；</w:t>
            </w:r>
          </w:p>
          <w:p>
            <w:pPr>
              <w:pStyle w:val="34"/>
              <w:ind w:left="0"/>
            </w:pPr>
            <w:r>
              <w:rPr>
                <w:rFonts w:hint="eastAsia"/>
              </w:rPr>
              <w:t>未提供方案或不满足采购要求，得0分。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restart"/>
            <w:tcMar>
              <w:top w:w="15" w:type="dxa"/>
              <w:left w:w="15" w:type="dxa"/>
              <w:bottom w:w="0" w:type="dxa"/>
              <w:right w:w="15" w:type="dxa"/>
            </w:tcMar>
            <w:vAlign w:val="center"/>
          </w:tcPr>
          <w:p>
            <w:r>
              <w:rPr>
                <w:rFonts w:hint="eastAsia"/>
              </w:rPr>
              <w:t>4</w:t>
            </w:r>
          </w:p>
        </w:tc>
        <w:tc>
          <w:tcPr>
            <w:tcW w:w="0" w:type="auto"/>
            <w:vMerge w:val="restart"/>
            <w:tcMar>
              <w:top w:w="15" w:type="dxa"/>
              <w:left w:w="15" w:type="dxa"/>
              <w:bottom w:w="0" w:type="dxa"/>
              <w:right w:w="15" w:type="dxa"/>
            </w:tcMar>
            <w:vAlign w:val="center"/>
          </w:tcPr>
          <w:p>
            <w:r>
              <w:rPr>
                <w:rFonts w:hint="eastAsia"/>
              </w:rPr>
              <w:t>政策执行</w:t>
            </w:r>
          </w:p>
          <w:p>
            <w:r>
              <w:rPr>
                <w:rFonts w:hint="eastAsia"/>
              </w:rPr>
              <w:t>（1分）</w:t>
            </w:r>
          </w:p>
        </w:tc>
        <w:tc>
          <w:tcPr>
            <w:tcW w:w="1492" w:type="dxa"/>
            <w:vAlign w:val="center"/>
          </w:tcPr>
          <w:p>
            <w:pPr>
              <w:jc w:val="center"/>
            </w:pPr>
            <w:r>
              <w:rPr>
                <w:rFonts w:hint="eastAsia"/>
              </w:rPr>
              <w:t>环保</w:t>
            </w:r>
          </w:p>
          <w:p>
            <w:pPr>
              <w:jc w:val="center"/>
            </w:pPr>
            <w:r>
              <w:rPr>
                <w:rFonts w:hint="eastAsia"/>
              </w:rPr>
              <w:t>（0.5分）</w:t>
            </w:r>
          </w:p>
        </w:tc>
        <w:tc>
          <w:tcPr>
            <w:tcW w:w="7205" w:type="dxa"/>
            <w:tcMar>
              <w:top w:w="15" w:type="dxa"/>
              <w:left w:w="15" w:type="dxa"/>
              <w:bottom w:w="0" w:type="dxa"/>
              <w:right w:w="15" w:type="dxa"/>
            </w:tcMar>
            <w:vAlign w:val="center"/>
          </w:tcPr>
          <w:p>
            <w:r>
              <w:rPr>
                <w:rFonts w:hint="eastAsia"/>
              </w:rPr>
              <w:t>除强制环保产品外，供应商提供所投产品属于《环境标志产品政府采购品目清单》的，提供有效的认证证书复印件并加盖本单位公章。每提供一项得0.25分，最高0.5分。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tc>
        <w:tc>
          <w:tcPr>
            <w:tcW w:w="0" w:type="auto"/>
            <w:vMerge w:val="continue"/>
            <w:tcMar>
              <w:top w:w="15" w:type="dxa"/>
              <w:left w:w="15" w:type="dxa"/>
              <w:bottom w:w="0" w:type="dxa"/>
              <w:right w:w="15" w:type="dxa"/>
            </w:tcMar>
            <w:vAlign w:val="center"/>
          </w:tcPr>
          <w:p/>
        </w:tc>
        <w:tc>
          <w:tcPr>
            <w:tcW w:w="1492" w:type="dxa"/>
            <w:vAlign w:val="center"/>
          </w:tcPr>
          <w:p>
            <w:pPr>
              <w:jc w:val="center"/>
            </w:pPr>
            <w:r>
              <w:rPr>
                <w:rFonts w:hint="eastAsia"/>
              </w:rPr>
              <w:t>节能</w:t>
            </w:r>
          </w:p>
          <w:p>
            <w:pPr>
              <w:jc w:val="center"/>
            </w:pPr>
            <w:r>
              <w:rPr>
                <w:rFonts w:hint="eastAsia"/>
              </w:rPr>
              <w:t>（0.5分）</w:t>
            </w:r>
          </w:p>
        </w:tc>
        <w:tc>
          <w:tcPr>
            <w:tcW w:w="7205" w:type="dxa"/>
            <w:tcMar>
              <w:top w:w="15" w:type="dxa"/>
              <w:left w:w="15" w:type="dxa"/>
              <w:bottom w:w="0" w:type="dxa"/>
              <w:right w:w="15" w:type="dxa"/>
            </w:tcMar>
            <w:vAlign w:val="center"/>
          </w:tcPr>
          <w:p>
            <w:r>
              <w:rPr>
                <w:rFonts w:hint="eastAsia"/>
              </w:rPr>
              <w:t>除强制节能产品外，供应商提供所投产品属于《节能产品政府采购品目清单》的，提供有效的认证证书复印件并加盖本单位公章。每提供一项得0.25分，最高0.5分。</w:t>
            </w:r>
          </w:p>
        </w:tc>
      </w:tr>
    </w:tbl>
    <w:p>
      <w:pPr>
        <w:pStyle w:val="23"/>
        <w:spacing w:line="360" w:lineRule="auto"/>
        <w:ind w:left="844" w:leftChars="136" w:hanging="559" w:hangingChars="233"/>
        <w:rPr>
          <w:rFonts w:hint="default" w:ascii="Times New Roman" w:hAnsi="Times New Roman"/>
          <w:b/>
          <w:sz w:val="24"/>
          <w:szCs w:val="24"/>
        </w:rPr>
      </w:pPr>
    </w:p>
    <w:p>
      <w:pPr>
        <w:widowControl/>
        <w:jc w:val="left"/>
        <w:rPr>
          <w:b/>
          <w:sz w:val="36"/>
          <w:szCs w:val="36"/>
        </w:rPr>
      </w:pPr>
    </w:p>
    <w:p>
      <w:pPr>
        <w:spacing w:line="360" w:lineRule="auto"/>
        <w:jc w:val="center"/>
        <w:outlineLvl w:val="0"/>
        <w:rPr>
          <w:b/>
          <w:sz w:val="36"/>
          <w:szCs w:val="36"/>
        </w:rPr>
      </w:pPr>
      <w:r>
        <w:rPr>
          <w:b/>
          <w:sz w:val="36"/>
          <w:szCs w:val="36"/>
        </w:rPr>
        <w:br w:type="page"/>
      </w:r>
      <w:bookmarkStart w:id="639" w:name="_Toc25327"/>
      <w:r>
        <w:rPr>
          <w:b/>
          <w:sz w:val="36"/>
          <w:szCs w:val="36"/>
        </w:rPr>
        <w:t>第四章   采购需求</w:t>
      </w:r>
      <w:bookmarkEnd w:id="639"/>
    </w:p>
    <w:p>
      <w:pPr>
        <w:pStyle w:val="99"/>
        <w:spacing w:before="156" w:beforeLines="50" w:after="156" w:afterLines="50" w:line="360" w:lineRule="auto"/>
        <w:ind w:firstLine="0" w:firstLineChars="0"/>
        <w:contextualSpacing/>
        <w:rPr>
          <w:rFonts w:ascii="Times New Roman" w:hAnsi="Times New Roman"/>
          <w:b/>
          <w:sz w:val="24"/>
          <w:szCs w:val="24"/>
        </w:rPr>
      </w:pPr>
    </w:p>
    <w:p>
      <w:pPr>
        <w:pStyle w:val="99"/>
        <w:spacing w:before="156" w:beforeLines="50" w:after="156" w:afterLines="50" w:line="360" w:lineRule="auto"/>
        <w:ind w:firstLine="0" w:firstLineChars="0"/>
        <w:contextualSpacing/>
        <w:jc w:val="center"/>
        <w:outlineLvl w:val="1"/>
        <w:rPr>
          <w:rFonts w:ascii="Times New Roman" w:hAnsi="Times New Roman"/>
          <w:b/>
          <w:sz w:val="24"/>
          <w:szCs w:val="24"/>
        </w:rPr>
      </w:pPr>
      <w:bookmarkStart w:id="640" w:name="_Toc3693"/>
      <w:r>
        <w:rPr>
          <w:rFonts w:hint="eastAsia" w:ascii="Times New Roman" w:hAnsi="Times New Roman"/>
          <w:b/>
          <w:sz w:val="32"/>
          <w:szCs w:val="32"/>
        </w:rPr>
        <w:t>01包 教学设备</w:t>
      </w:r>
    </w:p>
    <w:p>
      <w:pPr>
        <w:pStyle w:val="99"/>
        <w:spacing w:line="360" w:lineRule="auto"/>
        <w:ind w:left="420" w:leftChars="200" w:firstLine="0" w:firstLineChars="0"/>
        <w:contextualSpacing/>
        <w:rPr>
          <w:rFonts w:ascii="Times New Roman" w:hAnsi="Times New Roman"/>
          <w:b/>
          <w:sz w:val="24"/>
          <w:szCs w:val="24"/>
        </w:rPr>
      </w:pPr>
      <w:r>
        <w:rPr>
          <w:rFonts w:hint="eastAsia" w:ascii="Times New Roman" w:hAnsi="Times New Roman"/>
          <w:b/>
          <w:sz w:val="24"/>
          <w:szCs w:val="24"/>
        </w:rPr>
        <w:t>一、采购标的</w:t>
      </w:r>
    </w:p>
    <w:tbl>
      <w:tblPr>
        <w:tblStyle w:val="45"/>
        <w:tblW w:w="0" w:type="auto"/>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32"/>
        <w:gridCol w:w="2903"/>
        <w:gridCol w:w="1180"/>
        <w:gridCol w:w="1690"/>
        <w:gridCol w:w="134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0" w:type="auto"/>
            <w:tcMar>
              <w:top w:w="0" w:type="dxa"/>
              <w:left w:w="105" w:type="dxa"/>
              <w:bottom w:w="0" w:type="dxa"/>
              <w:right w:w="105" w:type="dxa"/>
            </w:tcMar>
            <w:vAlign w:val="center"/>
          </w:tcPr>
          <w:p>
            <w:pPr>
              <w:rPr>
                <w:rFonts w:ascii="宋体" w:hAnsi="宋体" w:cs="宋体"/>
                <w:b/>
                <w:szCs w:val="21"/>
              </w:rPr>
            </w:pPr>
            <w:r>
              <w:rPr>
                <w:rFonts w:hint="eastAsia" w:ascii="宋体" w:hAnsi="宋体" w:cs="宋体"/>
                <w:b/>
                <w:szCs w:val="21"/>
              </w:rPr>
              <w:t>包号</w:t>
            </w:r>
          </w:p>
        </w:tc>
        <w:tc>
          <w:tcPr>
            <w:tcW w:w="2903" w:type="dxa"/>
            <w:tcMar>
              <w:top w:w="0" w:type="dxa"/>
              <w:left w:w="105" w:type="dxa"/>
              <w:bottom w:w="0" w:type="dxa"/>
              <w:right w:w="105" w:type="dxa"/>
            </w:tcMar>
            <w:vAlign w:val="center"/>
          </w:tcPr>
          <w:p>
            <w:pPr>
              <w:jc w:val="center"/>
              <w:rPr>
                <w:rFonts w:ascii="宋体" w:hAnsi="宋体" w:cs="宋体"/>
                <w:b/>
                <w:szCs w:val="21"/>
              </w:rPr>
            </w:pPr>
            <w:r>
              <w:rPr>
                <w:rFonts w:hint="eastAsia" w:ascii="宋体" w:hAnsi="宋体" w:cs="宋体"/>
                <w:b/>
                <w:szCs w:val="21"/>
              </w:rPr>
              <w:t>标的名称</w:t>
            </w:r>
          </w:p>
        </w:tc>
        <w:tc>
          <w:tcPr>
            <w:tcW w:w="1180" w:type="dxa"/>
            <w:vAlign w:val="center"/>
          </w:tcPr>
          <w:p>
            <w:pPr>
              <w:jc w:val="center"/>
              <w:rPr>
                <w:rFonts w:ascii="宋体" w:hAnsi="宋体" w:cs="宋体"/>
                <w:b/>
                <w:szCs w:val="21"/>
              </w:rPr>
            </w:pPr>
            <w:r>
              <w:rPr>
                <w:rFonts w:hint="eastAsia" w:ascii="宋体" w:hAnsi="宋体" w:cs="宋体"/>
                <w:b/>
                <w:szCs w:val="21"/>
              </w:rPr>
              <w:t>数量</w:t>
            </w:r>
          </w:p>
        </w:tc>
        <w:tc>
          <w:tcPr>
            <w:tcW w:w="1690" w:type="dxa"/>
            <w:vAlign w:val="center"/>
          </w:tcPr>
          <w:p>
            <w:pPr>
              <w:jc w:val="center"/>
              <w:rPr>
                <w:rFonts w:ascii="宋体" w:hAnsi="宋体" w:cs="宋体"/>
                <w:b/>
                <w:szCs w:val="21"/>
              </w:rPr>
            </w:pPr>
            <w:r>
              <w:rPr>
                <w:rFonts w:hint="eastAsia" w:ascii="宋体" w:hAnsi="宋体" w:cs="宋体"/>
                <w:b/>
                <w:szCs w:val="21"/>
              </w:rPr>
              <w:t>采购包预算金额</w:t>
            </w:r>
          </w:p>
          <w:p>
            <w:pPr>
              <w:jc w:val="center"/>
              <w:rPr>
                <w:rFonts w:ascii="宋体" w:hAnsi="宋体" w:cs="宋体"/>
                <w:b/>
                <w:szCs w:val="21"/>
              </w:rPr>
            </w:pPr>
            <w:r>
              <w:rPr>
                <w:rFonts w:hint="eastAsia" w:ascii="宋体" w:hAnsi="宋体" w:cs="宋体"/>
                <w:b/>
                <w:szCs w:val="21"/>
              </w:rPr>
              <w:t>（万元）</w:t>
            </w:r>
          </w:p>
        </w:tc>
        <w:tc>
          <w:tcPr>
            <w:tcW w:w="1340" w:type="dxa"/>
            <w:vAlign w:val="center"/>
          </w:tcPr>
          <w:p>
            <w:pPr>
              <w:jc w:val="center"/>
              <w:rPr>
                <w:rFonts w:ascii="宋体" w:hAnsi="宋体" w:cs="宋体"/>
                <w:b/>
                <w:szCs w:val="21"/>
              </w:rPr>
            </w:pPr>
            <w:r>
              <w:rPr>
                <w:rFonts w:hint="eastAsia" w:ascii="宋体" w:hAnsi="宋体" w:cs="宋体"/>
                <w:b/>
                <w:szCs w:val="21"/>
              </w:rPr>
              <w:t>是否专门面向中小企业投标</w:t>
            </w:r>
          </w:p>
        </w:tc>
        <w:tc>
          <w:tcPr>
            <w:tcW w:w="1380" w:type="dxa"/>
            <w:vAlign w:val="center"/>
          </w:tcPr>
          <w:p>
            <w:pPr>
              <w:jc w:val="center"/>
              <w:rPr>
                <w:rFonts w:ascii="宋体" w:hAnsi="宋体" w:cs="宋体"/>
                <w:b/>
                <w:szCs w:val="21"/>
              </w:rPr>
            </w:pPr>
            <w:r>
              <w:rPr>
                <w:rFonts w:hint="eastAsia" w:ascii="宋体" w:hAnsi="宋体" w:cs="宋体"/>
                <w:b/>
                <w:szCs w:val="21"/>
              </w:rPr>
              <w:t>是否接受进口产品投标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0" w:type="auto"/>
            <w:vMerge w:val="restart"/>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rPr>
              <w:t>01</w:t>
            </w:r>
          </w:p>
        </w:tc>
        <w:tc>
          <w:tcPr>
            <w:tcW w:w="2903" w:type="dxa"/>
            <w:tcMar>
              <w:top w:w="0" w:type="dxa"/>
              <w:left w:w="105" w:type="dxa"/>
              <w:bottom w:w="0" w:type="dxa"/>
              <w:right w:w="105" w:type="dxa"/>
            </w:tcMar>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学生课桌椅</w:t>
            </w:r>
          </w:p>
        </w:tc>
        <w:tc>
          <w:tcPr>
            <w:tcW w:w="1180"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 xml:space="preserve">560套 </w:t>
            </w:r>
          </w:p>
        </w:tc>
        <w:tc>
          <w:tcPr>
            <w:tcW w:w="1690" w:type="dxa"/>
            <w:vMerge w:val="restar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44.</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 xml:space="preserve"> </w:t>
            </w:r>
          </w:p>
        </w:tc>
        <w:tc>
          <w:tcPr>
            <w:tcW w:w="1340" w:type="dxa"/>
            <w:vMerge w:val="restart"/>
            <w:vAlign w:val="center"/>
          </w:tcPr>
          <w:p>
            <w:pPr>
              <w:jc w:val="center"/>
              <w:rPr>
                <w:rFonts w:ascii="宋体" w:hAnsi="宋体" w:cs="宋体"/>
                <w:kern w:val="0"/>
                <w:szCs w:val="21"/>
              </w:rPr>
            </w:pPr>
            <w:r>
              <w:rPr>
                <w:rFonts w:hint="eastAsia" w:ascii="宋体" w:hAnsi="宋体" w:cs="宋体"/>
                <w:kern w:val="0"/>
                <w:szCs w:val="21"/>
              </w:rPr>
              <w:t>否</w:t>
            </w:r>
          </w:p>
        </w:tc>
        <w:tc>
          <w:tcPr>
            <w:tcW w:w="1380" w:type="dxa"/>
            <w:vMerge w:val="restart"/>
            <w:vAlign w:val="center"/>
          </w:tcPr>
          <w:p>
            <w:pPr>
              <w:jc w:val="center"/>
              <w:rPr>
                <w:rFonts w:ascii="宋体" w:hAnsi="宋体" w:cs="宋体"/>
                <w:kern w:val="0"/>
                <w:szCs w:val="21"/>
              </w:rPr>
            </w:pP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2903" w:type="dxa"/>
            <w:tcMar>
              <w:top w:w="0" w:type="dxa"/>
              <w:left w:w="105" w:type="dxa"/>
              <w:bottom w:w="0" w:type="dxa"/>
              <w:right w:w="105" w:type="dxa"/>
            </w:tcMar>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小学书包柜</w:t>
            </w:r>
          </w:p>
        </w:tc>
        <w:tc>
          <w:tcPr>
            <w:tcW w:w="1180"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 xml:space="preserve">6组 </w:t>
            </w:r>
          </w:p>
        </w:tc>
        <w:tc>
          <w:tcPr>
            <w:tcW w:w="1690" w:type="dxa"/>
            <w:vMerge w:val="continue"/>
            <w:vAlign w:val="center"/>
          </w:tcPr>
          <w:p>
            <w:pPr>
              <w:jc w:val="center"/>
              <w:rPr>
                <w:rFonts w:ascii="宋体" w:hAnsi="宋体" w:cs="宋体"/>
                <w:kern w:val="0"/>
                <w:szCs w:val="21"/>
              </w:rPr>
            </w:pPr>
          </w:p>
        </w:tc>
        <w:tc>
          <w:tcPr>
            <w:tcW w:w="1340" w:type="dxa"/>
            <w:vMerge w:val="continue"/>
            <w:vAlign w:val="center"/>
          </w:tcPr>
          <w:p>
            <w:pPr>
              <w:jc w:val="center"/>
              <w:rPr>
                <w:rFonts w:ascii="宋体" w:hAnsi="宋体" w:cs="宋体"/>
                <w:szCs w:val="21"/>
              </w:rPr>
            </w:pPr>
          </w:p>
        </w:tc>
        <w:tc>
          <w:tcPr>
            <w:tcW w:w="1380"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2903" w:type="dxa"/>
            <w:tcMar>
              <w:top w:w="0" w:type="dxa"/>
              <w:left w:w="105" w:type="dxa"/>
              <w:bottom w:w="0" w:type="dxa"/>
              <w:right w:w="105" w:type="dxa"/>
            </w:tcMar>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湿擦式复合黑板</w:t>
            </w:r>
          </w:p>
        </w:tc>
        <w:tc>
          <w:tcPr>
            <w:tcW w:w="1180"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 xml:space="preserve">11块 </w:t>
            </w:r>
          </w:p>
        </w:tc>
        <w:tc>
          <w:tcPr>
            <w:tcW w:w="1690" w:type="dxa"/>
            <w:vMerge w:val="continue"/>
            <w:vAlign w:val="center"/>
          </w:tcPr>
          <w:p>
            <w:pPr>
              <w:jc w:val="center"/>
              <w:rPr>
                <w:rFonts w:ascii="宋体" w:hAnsi="宋体" w:cs="宋体"/>
                <w:kern w:val="0"/>
                <w:szCs w:val="21"/>
              </w:rPr>
            </w:pPr>
          </w:p>
        </w:tc>
        <w:tc>
          <w:tcPr>
            <w:tcW w:w="1340" w:type="dxa"/>
            <w:vMerge w:val="continue"/>
            <w:vAlign w:val="center"/>
          </w:tcPr>
          <w:p>
            <w:pPr>
              <w:jc w:val="center"/>
              <w:rPr>
                <w:rFonts w:ascii="宋体" w:hAnsi="宋体" w:cs="宋体"/>
                <w:szCs w:val="21"/>
              </w:rPr>
            </w:pPr>
          </w:p>
        </w:tc>
        <w:tc>
          <w:tcPr>
            <w:tcW w:w="1380"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2903" w:type="dxa"/>
            <w:tcMar>
              <w:top w:w="0" w:type="dxa"/>
              <w:left w:w="105" w:type="dxa"/>
              <w:bottom w:w="0" w:type="dxa"/>
              <w:right w:w="105" w:type="dxa"/>
            </w:tcMar>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 xml:space="preserve">视频展台          </w:t>
            </w:r>
          </w:p>
        </w:tc>
        <w:tc>
          <w:tcPr>
            <w:tcW w:w="1180"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 xml:space="preserve">11台 </w:t>
            </w:r>
          </w:p>
        </w:tc>
        <w:tc>
          <w:tcPr>
            <w:tcW w:w="1690" w:type="dxa"/>
            <w:vMerge w:val="continue"/>
            <w:vAlign w:val="center"/>
          </w:tcPr>
          <w:p>
            <w:pPr>
              <w:jc w:val="center"/>
              <w:rPr>
                <w:rFonts w:ascii="宋体" w:hAnsi="宋体" w:cs="宋体"/>
                <w:kern w:val="0"/>
                <w:szCs w:val="21"/>
              </w:rPr>
            </w:pPr>
          </w:p>
        </w:tc>
        <w:tc>
          <w:tcPr>
            <w:tcW w:w="1340" w:type="dxa"/>
            <w:vMerge w:val="continue"/>
            <w:vAlign w:val="center"/>
          </w:tcPr>
          <w:p>
            <w:pPr>
              <w:jc w:val="center"/>
              <w:rPr>
                <w:rFonts w:ascii="宋体" w:hAnsi="宋体" w:cs="宋体"/>
                <w:szCs w:val="21"/>
              </w:rPr>
            </w:pPr>
          </w:p>
        </w:tc>
        <w:tc>
          <w:tcPr>
            <w:tcW w:w="1380"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2903" w:type="dxa"/>
            <w:tcMar>
              <w:top w:w="0" w:type="dxa"/>
              <w:left w:w="105" w:type="dxa"/>
              <w:bottom w:w="0" w:type="dxa"/>
              <w:right w:w="105" w:type="dxa"/>
            </w:tcMar>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 xml:space="preserve">音箱    </w:t>
            </w:r>
          </w:p>
        </w:tc>
        <w:tc>
          <w:tcPr>
            <w:tcW w:w="1180"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 xml:space="preserve">11对 </w:t>
            </w:r>
          </w:p>
        </w:tc>
        <w:tc>
          <w:tcPr>
            <w:tcW w:w="1690" w:type="dxa"/>
            <w:vMerge w:val="continue"/>
            <w:vAlign w:val="center"/>
          </w:tcPr>
          <w:p>
            <w:pPr>
              <w:jc w:val="center"/>
              <w:rPr>
                <w:rFonts w:ascii="宋体" w:hAnsi="宋体" w:cs="宋体"/>
                <w:kern w:val="0"/>
                <w:szCs w:val="21"/>
              </w:rPr>
            </w:pPr>
          </w:p>
        </w:tc>
        <w:tc>
          <w:tcPr>
            <w:tcW w:w="1340" w:type="dxa"/>
            <w:vMerge w:val="continue"/>
            <w:vAlign w:val="center"/>
          </w:tcPr>
          <w:p>
            <w:pPr>
              <w:jc w:val="center"/>
              <w:rPr>
                <w:rFonts w:ascii="宋体" w:hAnsi="宋体" w:cs="宋体"/>
                <w:szCs w:val="21"/>
              </w:rPr>
            </w:pPr>
          </w:p>
        </w:tc>
        <w:tc>
          <w:tcPr>
            <w:tcW w:w="1380"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2903" w:type="dxa"/>
            <w:tcMar>
              <w:top w:w="0" w:type="dxa"/>
              <w:left w:w="105" w:type="dxa"/>
              <w:bottom w:w="0" w:type="dxa"/>
              <w:right w:w="105" w:type="dxa"/>
            </w:tcMar>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系统集成</w:t>
            </w:r>
          </w:p>
        </w:tc>
        <w:tc>
          <w:tcPr>
            <w:tcW w:w="1180"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 xml:space="preserve">11套 </w:t>
            </w:r>
          </w:p>
        </w:tc>
        <w:tc>
          <w:tcPr>
            <w:tcW w:w="1690" w:type="dxa"/>
            <w:vMerge w:val="continue"/>
            <w:vAlign w:val="center"/>
          </w:tcPr>
          <w:p>
            <w:pPr>
              <w:jc w:val="center"/>
              <w:rPr>
                <w:rFonts w:ascii="宋体" w:hAnsi="宋体" w:cs="宋体"/>
                <w:kern w:val="0"/>
                <w:szCs w:val="21"/>
              </w:rPr>
            </w:pPr>
          </w:p>
        </w:tc>
        <w:tc>
          <w:tcPr>
            <w:tcW w:w="1340" w:type="dxa"/>
            <w:vMerge w:val="continue"/>
            <w:vAlign w:val="center"/>
          </w:tcPr>
          <w:p>
            <w:pPr>
              <w:jc w:val="center"/>
              <w:rPr>
                <w:rFonts w:ascii="宋体" w:hAnsi="宋体" w:cs="宋体"/>
                <w:szCs w:val="21"/>
              </w:rPr>
            </w:pPr>
          </w:p>
        </w:tc>
        <w:tc>
          <w:tcPr>
            <w:tcW w:w="1380"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2903" w:type="dxa"/>
            <w:tcMar>
              <w:top w:w="0" w:type="dxa"/>
              <w:left w:w="105" w:type="dxa"/>
              <w:bottom w:w="0" w:type="dxa"/>
              <w:right w:w="105" w:type="dxa"/>
            </w:tcMar>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三角板</w:t>
            </w:r>
          </w:p>
        </w:tc>
        <w:tc>
          <w:tcPr>
            <w:tcW w:w="1180"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14套</w:t>
            </w:r>
          </w:p>
        </w:tc>
        <w:tc>
          <w:tcPr>
            <w:tcW w:w="1690" w:type="dxa"/>
            <w:vMerge w:val="continue"/>
            <w:vAlign w:val="center"/>
          </w:tcPr>
          <w:p>
            <w:pPr>
              <w:jc w:val="center"/>
              <w:rPr>
                <w:rFonts w:ascii="宋体" w:hAnsi="宋体" w:cs="宋体"/>
                <w:kern w:val="0"/>
                <w:szCs w:val="21"/>
              </w:rPr>
            </w:pPr>
          </w:p>
        </w:tc>
        <w:tc>
          <w:tcPr>
            <w:tcW w:w="1340" w:type="dxa"/>
            <w:vMerge w:val="continue"/>
            <w:vAlign w:val="center"/>
          </w:tcPr>
          <w:p>
            <w:pPr>
              <w:jc w:val="center"/>
              <w:rPr>
                <w:rFonts w:ascii="宋体" w:hAnsi="宋体" w:cs="宋体"/>
                <w:szCs w:val="21"/>
              </w:rPr>
            </w:pPr>
          </w:p>
        </w:tc>
        <w:tc>
          <w:tcPr>
            <w:tcW w:w="1380"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2903" w:type="dxa"/>
            <w:tcMar>
              <w:top w:w="0" w:type="dxa"/>
              <w:left w:w="105" w:type="dxa"/>
              <w:bottom w:w="0" w:type="dxa"/>
              <w:right w:w="105" w:type="dxa"/>
            </w:tcMar>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圆规</w:t>
            </w:r>
          </w:p>
        </w:tc>
        <w:tc>
          <w:tcPr>
            <w:tcW w:w="1180"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4个</w:t>
            </w:r>
          </w:p>
        </w:tc>
        <w:tc>
          <w:tcPr>
            <w:tcW w:w="1690" w:type="dxa"/>
            <w:vMerge w:val="continue"/>
            <w:vAlign w:val="center"/>
          </w:tcPr>
          <w:p>
            <w:pPr>
              <w:jc w:val="center"/>
              <w:rPr>
                <w:rFonts w:ascii="宋体" w:hAnsi="宋体" w:cs="宋体"/>
                <w:kern w:val="0"/>
                <w:szCs w:val="21"/>
              </w:rPr>
            </w:pPr>
          </w:p>
        </w:tc>
        <w:tc>
          <w:tcPr>
            <w:tcW w:w="1340" w:type="dxa"/>
            <w:vMerge w:val="continue"/>
            <w:vAlign w:val="center"/>
          </w:tcPr>
          <w:p>
            <w:pPr>
              <w:jc w:val="center"/>
              <w:rPr>
                <w:rFonts w:ascii="宋体" w:hAnsi="宋体" w:cs="宋体"/>
                <w:szCs w:val="21"/>
              </w:rPr>
            </w:pPr>
          </w:p>
        </w:tc>
        <w:tc>
          <w:tcPr>
            <w:tcW w:w="1380"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2903" w:type="dxa"/>
            <w:tcMar>
              <w:top w:w="0" w:type="dxa"/>
              <w:left w:w="105" w:type="dxa"/>
              <w:bottom w:w="0" w:type="dxa"/>
              <w:right w:w="105" w:type="dxa"/>
            </w:tcMar>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量角器</w:t>
            </w:r>
          </w:p>
        </w:tc>
        <w:tc>
          <w:tcPr>
            <w:tcW w:w="1180"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4个</w:t>
            </w:r>
          </w:p>
        </w:tc>
        <w:tc>
          <w:tcPr>
            <w:tcW w:w="1690" w:type="dxa"/>
            <w:vMerge w:val="continue"/>
            <w:vAlign w:val="center"/>
          </w:tcPr>
          <w:p>
            <w:pPr>
              <w:jc w:val="center"/>
              <w:rPr>
                <w:rFonts w:ascii="宋体" w:hAnsi="宋体" w:cs="宋体"/>
                <w:kern w:val="0"/>
                <w:szCs w:val="21"/>
              </w:rPr>
            </w:pPr>
          </w:p>
        </w:tc>
        <w:tc>
          <w:tcPr>
            <w:tcW w:w="1340" w:type="dxa"/>
            <w:vMerge w:val="continue"/>
            <w:vAlign w:val="center"/>
          </w:tcPr>
          <w:p>
            <w:pPr>
              <w:jc w:val="center"/>
              <w:rPr>
                <w:rFonts w:ascii="宋体" w:hAnsi="宋体" w:cs="宋体"/>
                <w:szCs w:val="21"/>
              </w:rPr>
            </w:pPr>
          </w:p>
        </w:tc>
        <w:tc>
          <w:tcPr>
            <w:tcW w:w="1380" w:type="dxa"/>
            <w:vMerge w:val="continue"/>
            <w:vAlign w:val="center"/>
          </w:tcPr>
          <w:p>
            <w:pPr>
              <w:jc w:val="center"/>
              <w:rPr>
                <w:rFonts w:ascii="宋体" w:hAnsi="宋体" w:cs="宋体"/>
                <w:szCs w:val="21"/>
              </w:rPr>
            </w:pPr>
          </w:p>
        </w:tc>
      </w:tr>
    </w:tbl>
    <w:p/>
    <w:p>
      <w:pPr>
        <w:pStyle w:val="5"/>
      </w:pPr>
    </w:p>
    <w:p>
      <w:pPr>
        <w:pStyle w:val="5"/>
        <w:ind w:firstLine="0"/>
        <w:rPr>
          <w:b/>
          <w:bCs/>
        </w:rPr>
      </w:pPr>
      <w:r>
        <w:rPr>
          <w:rFonts w:hint="eastAsia" w:hAnsi="宋体"/>
          <w:b/>
          <w:bCs/>
        </w:rPr>
        <w:t>二、技术要求</w:t>
      </w:r>
    </w:p>
    <w:p>
      <w:pPr>
        <w:jc w:val="center"/>
      </w:pPr>
    </w:p>
    <w:tbl>
      <w:tblPr>
        <w:tblStyle w:val="45"/>
        <w:tblW w:w="0" w:type="auto"/>
        <w:tblInd w:w="98" w:type="dxa"/>
        <w:tblLayout w:type="autofit"/>
        <w:tblCellMar>
          <w:top w:w="0" w:type="dxa"/>
          <w:left w:w="108" w:type="dxa"/>
          <w:bottom w:w="0" w:type="dxa"/>
          <w:right w:w="108" w:type="dxa"/>
        </w:tblCellMar>
      </w:tblPr>
      <w:tblGrid>
        <w:gridCol w:w="512"/>
        <w:gridCol w:w="1009"/>
        <w:gridCol w:w="6963"/>
        <w:gridCol w:w="542"/>
        <w:gridCol w:w="730"/>
      </w:tblGrid>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标的名称</w:t>
            </w:r>
          </w:p>
        </w:tc>
        <w:tc>
          <w:tcPr>
            <w:tcW w:w="6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技术参数</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r>
      <w:tr>
        <w:tblPrEx>
          <w:tblCellMar>
            <w:top w:w="0" w:type="dxa"/>
            <w:left w:w="108" w:type="dxa"/>
            <w:bottom w:w="0" w:type="dxa"/>
            <w:right w:w="108" w:type="dxa"/>
          </w:tblCellMar>
        </w:tblPrEx>
        <w:trPr>
          <w:trHeight w:val="3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b/>
                <w:bCs/>
                <w:color w:val="000000"/>
                <w:szCs w:val="21"/>
              </w:rPr>
            </w:pPr>
            <w:r>
              <w:rPr>
                <w:rFonts w:hint="eastAsia" w:ascii="宋体" w:hAnsi="宋体" w:cs="宋体"/>
                <w:b/>
                <w:bCs/>
                <w:color w:val="000000"/>
                <w:kern w:val="0"/>
                <w:szCs w:val="21"/>
                <w:lang w:bidi="ar"/>
              </w:rPr>
              <w:t>一、教学及办公家具</w:t>
            </w:r>
            <w:r>
              <w:rPr>
                <w:rFonts w:hint="eastAsia" w:ascii="宋体" w:hAnsi="宋体" w:cs="宋体"/>
                <w:b/>
                <w:bCs/>
                <w:color w:val="000000"/>
                <w:kern w:val="0"/>
                <w:szCs w:val="21"/>
                <w:bdr w:val="single" w:color="000000" w:sz="4" w:space="0"/>
                <w:shd w:val="clear" w:color="auto" w:fill="FFFFFF"/>
                <w:lang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996315</wp:posOffset>
                  </wp:positionV>
                  <wp:extent cx="86360" cy="619760"/>
                  <wp:effectExtent l="0" t="0" r="0" b="0"/>
                  <wp:wrapNone/>
                  <wp:docPr id="24" name="图片_25"/>
                  <wp:cNvGraphicFramePr/>
                  <a:graphic xmlns:a="http://schemas.openxmlformats.org/drawingml/2006/main">
                    <a:graphicData uri="http://schemas.openxmlformats.org/drawingml/2006/picture">
                      <pic:pic xmlns:pic="http://schemas.openxmlformats.org/drawingml/2006/picture">
                        <pic:nvPicPr>
                          <pic:cNvPr id="24" name="图片_25"/>
                          <pic:cNvPicPr/>
                        </pic:nvPicPr>
                        <pic:blipFill>
                          <a:blip r:embed="rId26"/>
                          <a:stretch>
                            <a:fillRect/>
                          </a:stretch>
                        </pic:blipFill>
                        <pic:spPr>
                          <a:xfrm>
                            <a:off x="0" y="0"/>
                            <a:ext cx="86360" cy="619760"/>
                          </a:xfrm>
                          <a:prstGeom prst="rect">
                            <a:avLst/>
                          </a:prstGeom>
                          <a:noFill/>
                          <a:ln>
                            <a:noFill/>
                          </a:ln>
                        </pic:spPr>
                      </pic:pic>
                    </a:graphicData>
                  </a:graphic>
                </wp:anchor>
              </w:drawing>
            </w:r>
            <w:r>
              <w:rPr>
                <w:rFonts w:hint="eastAsia" w:ascii="宋体" w:hAnsi="宋体" w:cs="宋体"/>
                <w:b/>
                <w:bCs/>
                <w:color w:val="000000"/>
                <w:kern w:val="0"/>
                <w:szCs w:val="21"/>
                <w:bdr w:val="single" w:color="000000" w:sz="4" w:space="0"/>
                <w:shd w:val="clear" w:color="auto" w:fill="FFFFFF"/>
                <w:lang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996315</wp:posOffset>
                  </wp:positionV>
                  <wp:extent cx="86360" cy="619760"/>
                  <wp:effectExtent l="0" t="0" r="0" b="0"/>
                  <wp:wrapNone/>
                  <wp:docPr id="26" name="图片_26"/>
                  <wp:cNvGraphicFramePr/>
                  <a:graphic xmlns:a="http://schemas.openxmlformats.org/drawingml/2006/main">
                    <a:graphicData uri="http://schemas.openxmlformats.org/drawingml/2006/picture">
                      <pic:pic xmlns:pic="http://schemas.openxmlformats.org/drawingml/2006/picture">
                        <pic:nvPicPr>
                          <pic:cNvPr id="26" name="图片_26"/>
                          <pic:cNvPicPr/>
                        </pic:nvPicPr>
                        <pic:blipFill>
                          <a:blip r:embed="rId26"/>
                          <a:stretch>
                            <a:fillRect/>
                          </a:stretch>
                        </pic:blipFill>
                        <pic:spPr>
                          <a:xfrm>
                            <a:off x="0" y="0"/>
                            <a:ext cx="86360" cy="619760"/>
                          </a:xfrm>
                          <a:prstGeom prst="rect">
                            <a:avLst/>
                          </a:prstGeom>
                          <a:noFill/>
                          <a:ln>
                            <a:noFill/>
                          </a:ln>
                        </pic:spPr>
                      </pic:pic>
                    </a:graphicData>
                  </a:graphic>
                </wp:anchor>
              </w:drawing>
            </w:r>
            <w:r>
              <w:rPr>
                <w:rFonts w:hint="eastAsia" w:ascii="宋体" w:hAnsi="宋体" w:cs="宋体"/>
                <w:b/>
                <w:bCs/>
                <w:color w:val="000000"/>
                <w:kern w:val="0"/>
                <w:szCs w:val="21"/>
                <w:bdr w:val="single" w:color="000000" w:sz="4" w:space="0"/>
                <w:shd w:val="clear" w:color="auto" w:fill="FFFFFF"/>
                <w:lang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996315</wp:posOffset>
                  </wp:positionV>
                  <wp:extent cx="86360" cy="619760"/>
                  <wp:effectExtent l="0" t="0" r="0" b="0"/>
                  <wp:wrapNone/>
                  <wp:docPr id="30" name="图片_28"/>
                  <wp:cNvGraphicFramePr/>
                  <a:graphic xmlns:a="http://schemas.openxmlformats.org/drawingml/2006/main">
                    <a:graphicData uri="http://schemas.openxmlformats.org/drawingml/2006/picture">
                      <pic:pic xmlns:pic="http://schemas.openxmlformats.org/drawingml/2006/picture">
                        <pic:nvPicPr>
                          <pic:cNvPr id="30" name="图片_28"/>
                          <pic:cNvPicPr/>
                        </pic:nvPicPr>
                        <pic:blipFill>
                          <a:blip r:embed="rId26"/>
                          <a:stretch>
                            <a:fillRect/>
                          </a:stretch>
                        </pic:blipFill>
                        <pic:spPr>
                          <a:xfrm>
                            <a:off x="0" y="0"/>
                            <a:ext cx="86360" cy="619760"/>
                          </a:xfrm>
                          <a:prstGeom prst="rect">
                            <a:avLst/>
                          </a:prstGeom>
                          <a:noFill/>
                          <a:ln>
                            <a:noFill/>
                          </a:ln>
                        </pic:spPr>
                      </pic:pic>
                    </a:graphicData>
                  </a:graphic>
                </wp:anchor>
              </w:drawing>
            </w:r>
            <w:r>
              <w:rPr>
                <w:rFonts w:hint="eastAsia" w:ascii="宋体" w:hAnsi="宋体" w:cs="宋体"/>
                <w:b/>
                <w:bCs/>
                <w:color w:val="000000"/>
                <w:kern w:val="0"/>
                <w:szCs w:val="21"/>
                <w:bdr w:val="single" w:color="000000" w:sz="4" w:space="0"/>
                <w:shd w:val="clear" w:color="auto" w:fill="FFFFFF"/>
                <w:lang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996315</wp:posOffset>
                  </wp:positionV>
                  <wp:extent cx="86360" cy="619760"/>
                  <wp:effectExtent l="0" t="0" r="0" b="0"/>
                  <wp:wrapNone/>
                  <wp:docPr id="25" name="图片_30"/>
                  <wp:cNvGraphicFramePr/>
                  <a:graphic xmlns:a="http://schemas.openxmlformats.org/drawingml/2006/main">
                    <a:graphicData uri="http://schemas.openxmlformats.org/drawingml/2006/picture">
                      <pic:pic xmlns:pic="http://schemas.openxmlformats.org/drawingml/2006/picture">
                        <pic:nvPicPr>
                          <pic:cNvPr id="25" name="图片_30"/>
                          <pic:cNvPicPr/>
                        </pic:nvPicPr>
                        <pic:blipFill>
                          <a:blip r:embed="rId26"/>
                          <a:stretch>
                            <a:fillRect/>
                          </a:stretch>
                        </pic:blipFill>
                        <pic:spPr>
                          <a:xfrm>
                            <a:off x="0" y="0"/>
                            <a:ext cx="86360" cy="619760"/>
                          </a:xfrm>
                          <a:prstGeom prst="rect">
                            <a:avLst/>
                          </a:prstGeom>
                          <a:noFill/>
                          <a:ln>
                            <a:noFill/>
                          </a:ln>
                        </pic:spPr>
                      </pic:pic>
                    </a:graphicData>
                  </a:graphic>
                </wp:anchor>
              </w:drawing>
            </w:r>
            <w:r>
              <w:rPr>
                <w:rFonts w:hint="eastAsia" w:ascii="宋体" w:hAnsi="宋体" w:cs="宋体"/>
                <w:b/>
                <w:bCs/>
                <w:color w:val="000000"/>
                <w:kern w:val="0"/>
                <w:szCs w:val="21"/>
                <w:bdr w:val="single" w:color="000000" w:sz="4" w:space="0"/>
                <w:shd w:val="clear" w:color="auto" w:fill="FFFFFF"/>
                <w:lang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996315</wp:posOffset>
                  </wp:positionV>
                  <wp:extent cx="86360" cy="619760"/>
                  <wp:effectExtent l="0" t="0" r="0" b="0"/>
                  <wp:wrapNone/>
                  <wp:docPr id="31" name="图片_29"/>
                  <wp:cNvGraphicFramePr/>
                  <a:graphic xmlns:a="http://schemas.openxmlformats.org/drawingml/2006/main">
                    <a:graphicData uri="http://schemas.openxmlformats.org/drawingml/2006/picture">
                      <pic:pic xmlns:pic="http://schemas.openxmlformats.org/drawingml/2006/picture">
                        <pic:nvPicPr>
                          <pic:cNvPr id="31" name="图片_29"/>
                          <pic:cNvPicPr/>
                        </pic:nvPicPr>
                        <pic:blipFill>
                          <a:blip r:embed="rId26"/>
                          <a:stretch>
                            <a:fillRect/>
                          </a:stretch>
                        </pic:blipFill>
                        <pic:spPr>
                          <a:xfrm>
                            <a:off x="0" y="0"/>
                            <a:ext cx="86360" cy="619760"/>
                          </a:xfrm>
                          <a:prstGeom prst="rect">
                            <a:avLst/>
                          </a:prstGeom>
                          <a:noFill/>
                          <a:ln>
                            <a:noFill/>
                          </a:ln>
                        </pic:spPr>
                      </pic:pic>
                    </a:graphicData>
                  </a:graphic>
                </wp:anchor>
              </w:drawing>
            </w:r>
            <w:r>
              <w:rPr>
                <w:rFonts w:hint="eastAsia" w:ascii="宋体" w:hAnsi="宋体" w:cs="宋体"/>
                <w:b/>
                <w:bCs/>
                <w:color w:val="000000"/>
                <w:kern w:val="0"/>
                <w:szCs w:val="21"/>
                <w:bdr w:val="single" w:color="000000" w:sz="4" w:space="0"/>
                <w:shd w:val="clear" w:color="auto" w:fill="FFFFFF"/>
                <w:lang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996315</wp:posOffset>
                  </wp:positionV>
                  <wp:extent cx="86360" cy="619760"/>
                  <wp:effectExtent l="0" t="0" r="0" b="0"/>
                  <wp:wrapNone/>
                  <wp:docPr id="27" name="图片_27"/>
                  <wp:cNvGraphicFramePr/>
                  <a:graphic xmlns:a="http://schemas.openxmlformats.org/drawingml/2006/main">
                    <a:graphicData uri="http://schemas.openxmlformats.org/drawingml/2006/picture">
                      <pic:pic xmlns:pic="http://schemas.openxmlformats.org/drawingml/2006/picture">
                        <pic:nvPicPr>
                          <pic:cNvPr id="27" name="图片_27"/>
                          <pic:cNvPicPr/>
                        </pic:nvPicPr>
                        <pic:blipFill>
                          <a:blip r:embed="rId26"/>
                          <a:stretch>
                            <a:fillRect/>
                          </a:stretch>
                        </pic:blipFill>
                        <pic:spPr>
                          <a:xfrm>
                            <a:off x="0" y="0"/>
                            <a:ext cx="86360" cy="61976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学生课桌椅</w:t>
            </w:r>
          </w:p>
        </w:tc>
        <w:tc>
          <w:tcPr>
            <w:tcW w:w="6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1.可通过手摇实现升降调节。</w:t>
            </w:r>
          </w:p>
          <w:p>
            <w:pPr>
              <w:widowControl/>
              <w:jc w:val="left"/>
              <w:textAlignment w:val="center"/>
              <w:rPr>
                <w:rFonts w:ascii="宋体" w:hAnsi="宋体" w:cs="宋体"/>
                <w:color w:val="000000"/>
                <w:szCs w:val="21"/>
              </w:rPr>
            </w:pPr>
            <w:r>
              <w:rPr>
                <w:rStyle w:val="276"/>
                <w:rFonts w:hint="default"/>
                <w:b w:val="0"/>
                <w:bCs w:val="0"/>
                <w:sz w:val="21"/>
                <w:szCs w:val="21"/>
                <w:lang w:bidi="ar"/>
              </w:rPr>
              <w:t>#</w:t>
            </w:r>
            <w:r>
              <w:rPr>
                <w:rStyle w:val="276"/>
                <w:b w:val="0"/>
                <w:bCs w:val="0"/>
                <w:sz w:val="21"/>
                <w:szCs w:val="21"/>
                <w:lang w:bidi="ar"/>
              </w:rPr>
              <w:t>2.供应商需</w:t>
            </w:r>
            <w:r>
              <w:rPr>
                <w:rStyle w:val="276"/>
                <w:rFonts w:hint="default"/>
                <w:b w:val="0"/>
                <w:bCs w:val="0"/>
                <w:sz w:val="21"/>
                <w:szCs w:val="21"/>
                <w:lang w:bidi="ar"/>
              </w:rPr>
              <w:t>提供课桌、课椅</w:t>
            </w:r>
            <w:r>
              <w:rPr>
                <w:rStyle w:val="276"/>
                <w:b w:val="0"/>
                <w:bCs w:val="0"/>
                <w:sz w:val="21"/>
                <w:szCs w:val="21"/>
                <w:lang w:bidi="ar"/>
              </w:rPr>
              <w:t>由有效的第三方检测机构出具的</w:t>
            </w:r>
            <w:r>
              <w:rPr>
                <w:rStyle w:val="276"/>
                <w:rFonts w:hint="default"/>
                <w:b w:val="0"/>
                <w:bCs w:val="0"/>
                <w:sz w:val="21"/>
                <w:szCs w:val="21"/>
                <w:lang w:bidi="ar"/>
              </w:rPr>
              <w:t>检测报告复印件</w:t>
            </w:r>
            <w:r>
              <w:rPr>
                <w:rStyle w:val="276"/>
                <w:b w:val="0"/>
                <w:bCs w:val="0"/>
                <w:sz w:val="21"/>
                <w:szCs w:val="21"/>
                <w:lang w:bidi="ar"/>
              </w:rPr>
              <w:t>并</w:t>
            </w:r>
            <w:r>
              <w:rPr>
                <w:rStyle w:val="276"/>
                <w:rFonts w:hint="default"/>
                <w:b w:val="0"/>
                <w:bCs w:val="0"/>
                <w:sz w:val="21"/>
                <w:szCs w:val="21"/>
                <w:lang w:bidi="ar"/>
              </w:rPr>
              <w:t>加盖</w:t>
            </w:r>
            <w:r>
              <w:rPr>
                <w:rStyle w:val="276"/>
                <w:b w:val="0"/>
                <w:bCs w:val="0"/>
                <w:sz w:val="21"/>
                <w:szCs w:val="21"/>
                <w:lang w:bidi="ar"/>
              </w:rPr>
              <w:t>供应商</w:t>
            </w:r>
            <w:r>
              <w:rPr>
                <w:rStyle w:val="276"/>
                <w:rFonts w:hint="default"/>
                <w:b w:val="0"/>
                <w:bCs w:val="0"/>
                <w:sz w:val="21"/>
                <w:szCs w:val="21"/>
                <w:lang w:bidi="ar"/>
              </w:rPr>
              <w:t>公章，检测依据QB/T4071-2021《课桌椅》，检测内容需包含：（</w:t>
            </w:r>
            <w:r>
              <w:rPr>
                <w:rStyle w:val="276"/>
                <w:b w:val="0"/>
                <w:bCs w:val="0"/>
                <w:sz w:val="21"/>
                <w:szCs w:val="21"/>
                <w:lang w:bidi="ar"/>
              </w:rPr>
              <w:t>1</w:t>
            </w:r>
            <w:r>
              <w:rPr>
                <w:rStyle w:val="276"/>
                <w:rFonts w:hint="default"/>
                <w:b w:val="0"/>
                <w:bCs w:val="0"/>
                <w:sz w:val="21"/>
                <w:szCs w:val="21"/>
                <w:lang w:bidi="ar"/>
              </w:rPr>
              <w:t>）有害物质限量：可溶性铅、可溶性镉、可溶性汞（</w:t>
            </w:r>
            <w:r>
              <w:rPr>
                <w:rStyle w:val="276"/>
                <w:b w:val="0"/>
                <w:bCs w:val="0"/>
                <w:sz w:val="21"/>
                <w:szCs w:val="21"/>
                <w:lang w:bidi="ar"/>
              </w:rPr>
              <w:t>2</w:t>
            </w:r>
            <w:r>
              <w:rPr>
                <w:rStyle w:val="276"/>
                <w:rFonts w:hint="default"/>
                <w:b w:val="0"/>
                <w:bCs w:val="0"/>
                <w:sz w:val="21"/>
                <w:szCs w:val="21"/>
                <w:lang w:bidi="ar"/>
              </w:rPr>
              <w:t>）力学性能（</w:t>
            </w:r>
            <w:r>
              <w:rPr>
                <w:rStyle w:val="276"/>
                <w:b w:val="0"/>
                <w:bCs w:val="0"/>
                <w:sz w:val="21"/>
                <w:szCs w:val="21"/>
                <w:lang w:bidi="ar"/>
              </w:rPr>
              <w:t>3</w:t>
            </w:r>
            <w:r>
              <w:rPr>
                <w:rStyle w:val="276"/>
                <w:rFonts w:hint="default"/>
                <w:b w:val="0"/>
                <w:bCs w:val="0"/>
                <w:sz w:val="21"/>
                <w:szCs w:val="21"/>
                <w:lang w:bidi="ar"/>
              </w:rPr>
              <w:t>）安全要求（</w:t>
            </w:r>
            <w:r>
              <w:rPr>
                <w:rStyle w:val="276"/>
                <w:b w:val="0"/>
                <w:bCs w:val="0"/>
                <w:sz w:val="21"/>
                <w:szCs w:val="21"/>
                <w:lang w:bidi="ar"/>
              </w:rPr>
              <w:t>4</w:t>
            </w:r>
            <w:r>
              <w:rPr>
                <w:rStyle w:val="276"/>
                <w:rFonts w:hint="default"/>
                <w:b w:val="0"/>
                <w:bCs w:val="0"/>
                <w:sz w:val="21"/>
                <w:szCs w:val="21"/>
                <w:lang w:bidi="ar"/>
              </w:rPr>
              <w:t>）外观</w:t>
            </w:r>
            <w:r>
              <w:rPr>
                <w:rFonts w:hint="eastAsia" w:ascii="宋体" w:hAnsi="宋体" w:cs="宋体"/>
                <w:color w:val="000000"/>
                <w:kern w:val="0"/>
                <w:szCs w:val="21"/>
                <w:lang w:bidi="ar"/>
              </w:rPr>
              <w:br w:type="textWrapping"/>
            </w:r>
            <w:r>
              <w:rPr>
                <w:rFonts w:hint="eastAsia" w:ascii="宋体" w:hAnsi="宋体" w:cs="宋体"/>
                <w:b/>
                <w:bCs/>
                <w:color w:val="000000"/>
                <w:kern w:val="0"/>
                <w:szCs w:val="21"/>
                <w:lang w:bidi="ar"/>
              </w:rPr>
              <w:t>一、桌子面板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1.采用ABS耐冲击塑料一体成型。不可采用回收料生产；尺寸：65×45cm±1cm；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2.功能：靠胸前处有一内弧设计；面板上有一个笔槽及水杯槽；面板左右防滑挡条；表面细纹咬花，不反光；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3.面板底部有强化承重设计，内嵌两支强化承重方管，与面板底部平齐。</w:t>
            </w:r>
            <w:r>
              <w:rPr>
                <w:rFonts w:hint="eastAsia" w:ascii="宋体" w:hAnsi="宋体" w:cs="宋体"/>
                <w:color w:val="000000"/>
                <w:kern w:val="0"/>
                <w:szCs w:val="21"/>
                <w:lang w:bidi="ar"/>
              </w:rPr>
              <w:br w:type="textWrapping"/>
            </w:r>
            <w:r>
              <w:rPr>
                <w:rFonts w:hint="eastAsia" w:ascii="宋体" w:hAnsi="宋体" w:cs="宋体"/>
                <w:b/>
                <w:bCs/>
                <w:color w:val="000000"/>
                <w:kern w:val="0"/>
                <w:szCs w:val="21"/>
                <w:lang w:bidi="ar"/>
              </w:rPr>
              <w:t>二、书箱</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1.采用PP耐冲击、高韧性塑料一体成型。不可采用回收料生产；尺寸：51×34×15cm±1cm；功能：底部有≥32条排水槽缝并往后倾斜2°，表面细纹咬花、不反光，边角采用90°垂直设计。</w:t>
            </w:r>
            <w:r>
              <w:rPr>
                <w:rFonts w:hint="eastAsia" w:ascii="宋体" w:hAnsi="宋体" w:cs="宋体"/>
                <w:color w:val="000000"/>
                <w:kern w:val="0"/>
                <w:szCs w:val="21"/>
                <w:lang w:bidi="ar"/>
              </w:rPr>
              <w:br w:type="textWrapping"/>
            </w:r>
            <w:r>
              <w:rPr>
                <w:rFonts w:hint="eastAsia" w:ascii="宋体" w:hAnsi="宋体" w:cs="宋体"/>
                <w:b/>
                <w:bCs/>
                <w:color w:val="000000"/>
                <w:kern w:val="0"/>
                <w:szCs w:val="21"/>
                <w:lang w:bidi="ar"/>
              </w:rPr>
              <w:t>三、桌钢架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椭圆型钢管；尺寸：30×60×1.2mm±10mm，25×50×1.5mm±10mm，20×40×1.2mm±10mm。全周满焊焊接，结构牢固，长期使用不会产生摇晃、松散的现象。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表面涂装：钢管架表面经酸洗、脱脂、磷化处理，耐腐蚀、防锈。外表采一级颗粒粉末，经高温粉体烤漆，附着力特强，不脱漆。涂层需无漏喷、锈蚀；涂层需光滑均匀，色泽一致，需无流挂、疙瘩、皱皮、飞漆。涂层需平整光滑、清晰，需无明显粒子、涨边现象；无明显加工痕迹、划痕、雾光、白棱、白点、鼓泡、油白、流挂、缩孔、刷毛、积粉和杂渣。长时间使用也不会产生表面漆剥落现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3.功能：左右脚架各加装一组升降器。通过手摇方式进行升降，钢管表面需有刻度标示，刻度需经高压冲床冲压而成，升降高度需符合国家标准。</w:t>
            </w:r>
            <w:r>
              <w:rPr>
                <w:rFonts w:hint="eastAsia" w:ascii="宋体" w:hAnsi="宋体" w:cs="宋体"/>
                <w:color w:val="000000"/>
                <w:kern w:val="0"/>
                <w:szCs w:val="21"/>
                <w:lang w:bidi="ar"/>
              </w:rPr>
              <w:br w:type="textWrapping"/>
            </w:r>
            <w:r>
              <w:rPr>
                <w:rFonts w:hint="eastAsia" w:ascii="宋体" w:hAnsi="宋体" w:cs="宋体"/>
                <w:b/>
                <w:bCs/>
                <w:color w:val="000000"/>
                <w:kern w:val="0"/>
                <w:szCs w:val="21"/>
                <w:lang w:bidi="ar"/>
              </w:rPr>
              <w:t>四、脚垫</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1.采用PP加耐磨纤维塑料一体而成，耐磨抗老化；尺寸：70mm×38mm×厚8mm±10mm；功能：采钢板螺丝锁付方式固定，长期使用不脱落。</w:t>
            </w:r>
            <w:r>
              <w:rPr>
                <w:rFonts w:hint="eastAsia" w:ascii="宋体" w:hAnsi="宋体" w:cs="宋体"/>
                <w:color w:val="000000"/>
                <w:kern w:val="0"/>
                <w:szCs w:val="21"/>
                <w:lang w:bidi="ar"/>
              </w:rPr>
              <w:br w:type="textWrapping"/>
            </w:r>
            <w:r>
              <w:rPr>
                <w:rFonts w:hint="eastAsia" w:ascii="宋体" w:hAnsi="宋体" w:cs="宋体"/>
                <w:b/>
                <w:bCs/>
                <w:color w:val="000000"/>
                <w:kern w:val="0"/>
                <w:szCs w:val="21"/>
                <w:lang w:bidi="ar"/>
              </w:rPr>
              <w:t>五、小挂勾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1采用PP耐冲击、高韧性塑料一体成型。不可采用回收料生产；尺寸：53mm×42mm×33mm±10mm；功能：增加额外挂物位置，不可超出桌沿。</w:t>
            </w:r>
            <w:r>
              <w:rPr>
                <w:rFonts w:hint="eastAsia" w:ascii="宋体" w:hAnsi="宋体" w:cs="宋体"/>
                <w:color w:val="000000"/>
                <w:kern w:val="0"/>
                <w:szCs w:val="21"/>
                <w:lang w:bidi="ar"/>
              </w:rPr>
              <w:br w:type="textWrapping"/>
            </w:r>
            <w:r>
              <w:rPr>
                <w:rFonts w:hint="eastAsia" w:ascii="宋体" w:hAnsi="宋体" w:cs="宋体"/>
                <w:b/>
                <w:bCs/>
                <w:color w:val="000000"/>
                <w:kern w:val="0"/>
                <w:szCs w:val="21"/>
                <w:lang w:bidi="ar"/>
              </w:rPr>
              <w:t>六、开合式挂勾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1.采用PP耐冲击、高韧性塑料一体成型。不可采用回收料生产；尺寸：55×60×60mm±10mm；功能：可挂置物品及水瓶，开启时不超出桌沿，不使用时能折合收藏。</w:t>
            </w:r>
            <w:r>
              <w:rPr>
                <w:rFonts w:hint="eastAsia" w:ascii="宋体" w:hAnsi="宋体" w:cs="宋体"/>
                <w:color w:val="000000"/>
                <w:kern w:val="0"/>
                <w:szCs w:val="21"/>
                <w:lang w:bidi="ar"/>
              </w:rPr>
              <w:br w:type="textWrapping"/>
            </w:r>
            <w:r>
              <w:rPr>
                <w:rFonts w:hint="eastAsia" w:ascii="宋体" w:hAnsi="宋体" w:cs="宋体"/>
                <w:b/>
                <w:bCs/>
                <w:color w:val="000000"/>
                <w:kern w:val="0"/>
                <w:szCs w:val="21"/>
                <w:lang w:bidi="ar"/>
              </w:rPr>
              <w:t>七、椅子靠背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1.采用PP耐冲击、高韧性塑料一体成型。不可采用回收料生产；尺寸：41×30cm±1cm；功能：表面细纹咬花，防滑、不反光，表面不裸漏螺丝钉，无法拆卸。</w:t>
            </w:r>
            <w:r>
              <w:rPr>
                <w:rFonts w:hint="eastAsia" w:ascii="宋体" w:hAnsi="宋体" w:cs="宋体"/>
                <w:color w:val="000000"/>
                <w:kern w:val="0"/>
                <w:szCs w:val="21"/>
                <w:lang w:bidi="ar"/>
              </w:rPr>
              <w:br w:type="textWrapping"/>
            </w:r>
            <w:r>
              <w:rPr>
                <w:rFonts w:hint="eastAsia" w:ascii="宋体" w:hAnsi="宋体" w:cs="宋体"/>
                <w:b/>
                <w:bCs/>
                <w:color w:val="000000"/>
                <w:kern w:val="0"/>
                <w:szCs w:val="21"/>
                <w:lang w:bidi="ar"/>
              </w:rPr>
              <w:t>八、坐垫</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1.采用PP耐冲击、高韧性塑料一体成型。不可采用回收料生产；尺寸：40×38cm±1cm；功能：表面细纹咬花，防滑、不反光。</w:t>
            </w:r>
            <w:r>
              <w:rPr>
                <w:rFonts w:hint="eastAsia" w:ascii="宋体" w:hAnsi="宋体" w:cs="宋体"/>
                <w:color w:val="000000"/>
                <w:kern w:val="0"/>
                <w:szCs w:val="21"/>
                <w:lang w:bidi="ar"/>
              </w:rPr>
              <w:br w:type="textWrapping"/>
            </w:r>
            <w:r>
              <w:rPr>
                <w:rFonts w:hint="eastAsia" w:ascii="宋体" w:hAnsi="宋体" w:cs="宋体"/>
                <w:b/>
                <w:bCs/>
                <w:color w:val="000000"/>
                <w:kern w:val="0"/>
                <w:szCs w:val="21"/>
                <w:lang w:bidi="ar"/>
              </w:rPr>
              <w:t>九、钢管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1.椭圆型钢管；尺寸：30×60×1.2mm±10mm，25×50×1.5mm±10mm，20×40×1.2mm±10mm，16.5×34×1.5mm±10mm。采用CO</w:t>
            </w:r>
            <w:r>
              <w:rPr>
                <w:rFonts w:ascii="宋体" w:hAnsi="宋体" w:cs="宋体"/>
                <w:color w:val="000000"/>
                <w:kern w:val="0"/>
                <w:sz w:val="21"/>
                <w:szCs w:val="21"/>
                <w:vertAlign w:val="subscript"/>
                <w:lang w:bidi="ar"/>
              </w:rPr>
              <w:t>2</w:t>
            </w:r>
            <w:r>
              <w:rPr>
                <w:rFonts w:hint="eastAsia" w:ascii="宋体" w:hAnsi="宋体" w:cs="宋体"/>
                <w:color w:val="000000"/>
                <w:kern w:val="0"/>
                <w:szCs w:val="21"/>
                <w:lang w:bidi="ar"/>
              </w:rPr>
              <w:t>气体保护焊，全周满焊焊接，结构牢固，长期使用不会产生摇晃、松散的现象。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表面涂装：钢管架表面经酸洗、脱脂、磷化处理，耐腐蚀、防锈。外表采一级颗粒粉末，经高温粉体烤漆，附着力特强，不脱漆。涂层需无漏喷、锈蚀；涂层需光滑均匀，色泽一致，需无流挂、疙瘩、皱皮、飞漆。涂层需平整光滑、清晰，需无明显粒子、涨边现象；无明显加工痕迹、划痕、雾光、白棱、白点、鼓泡、油白、流挂、缩孔、刷毛、积粉和杂渣。长时间使用不会产生表面漆剥落现象。</w:t>
            </w:r>
            <w:r>
              <w:rPr>
                <w:rFonts w:hint="eastAsia" w:ascii="宋体" w:hAnsi="宋体" w:cs="宋体"/>
                <w:color w:val="000000"/>
                <w:kern w:val="0"/>
                <w:szCs w:val="21"/>
                <w:lang w:bidi="ar"/>
              </w:rPr>
              <w:br w:type="textWrapping"/>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.功能：左右脚架各加装一组升降器。通过手摇方式进行升降，钢管表面需有刻度标示，刻度需经高压冲床冲压而成，升降高度需符合国家标准。</w:t>
            </w:r>
            <w:r>
              <w:rPr>
                <w:rFonts w:hint="eastAsia" w:ascii="宋体" w:hAnsi="宋体" w:cs="宋体"/>
                <w:color w:val="000000"/>
                <w:kern w:val="0"/>
                <w:szCs w:val="21"/>
                <w:lang w:bidi="ar"/>
              </w:rPr>
              <w:br w:type="textWrapping"/>
            </w:r>
            <w:r>
              <w:rPr>
                <w:rFonts w:hint="eastAsia" w:ascii="宋体" w:hAnsi="宋体" w:cs="宋体"/>
                <w:b/>
                <w:bCs/>
                <w:color w:val="000000"/>
                <w:kern w:val="0"/>
                <w:szCs w:val="21"/>
                <w:lang w:bidi="ar"/>
              </w:rPr>
              <w:t>十、脚垫</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1.采用PP加耐磨纤维塑料一体而成，耐磨抗老化；尺寸：70mm×38mm×厚8mm±10mm；功能：采钢板螺丝锁付方式固定，长期使用不脱落。</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560 </w:t>
            </w:r>
          </w:p>
        </w:tc>
      </w:tr>
      <w:tr>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小学书包柜</w:t>
            </w:r>
          </w:p>
        </w:tc>
        <w:tc>
          <w:tcPr>
            <w:tcW w:w="6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Cs w:val="21"/>
              </w:rPr>
            </w:pPr>
            <w:r>
              <w:rPr>
                <w:rStyle w:val="277"/>
                <w:sz w:val="21"/>
                <w:szCs w:val="21"/>
                <w:lang w:bidi="ar"/>
              </w:rPr>
              <w:t>1.</w:t>
            </w:r>
            <w:r>
              <w:rPr>
                <w:rStyle w:val="277"/>
                <w:rFonts w:hint="default"/>
                <w:sz w:val="21"/>
                <w:szCs w:val="21"/>
                <w:lang w:bidi="ar"/>
              </w:rPr>
              <w:t>每组40格，规格400*400*400MM（单格）</w:t>
            </w:r>
            <w:r>
              <w:rPr>
                <w:rStyle w:val="277"/>
                <w:sz w:val="21"/>
                <w:szCs w:val="21"/>
                <w:lang w:bidi="ar"/>
              </w:rPr>
              <w:t>±10mm；</w:t>
            </w:r>
            <w:r>
              <w:rPr>
                <w:rStyle w:val="277"/>
                <w:rFonts w:hint="default"/>
                <w:sz w:val="21"/>
                <w:szCs w:val="21"/>
                <w:lang w:bidi="ar"/>
              </w:rPr>
              <w:br w:type="textWrapping"/>
            </w:r>
            <w:r>
              <w:rPr>
                <w:rStyle w:val="277"/>
                <w:sz w:val="21"/>
                <w:szCs w:val="21"/>
                <w:lang w:bidi="ar"/>
              </w:rPr>
              <w:t>2.</w:t>
            </w:r>
            <w:r>
              <w:rPr>
                <w:rStyle w:val="277"/>
                <w:rFonts w:hint="default"/>
                <w:sz w:val="21"/>
                <w:szCs w:val="21"/>
                <w:lang w:bidi="ar"/>
              </w:rPr>
              <w:t>基材：整体钢制，采用一级优质冷轧钢板</w:t>
            </w:r>
            <w:r>
              <w:rPr>
                <w:rStyle w:val="277"/>
                <w:sz w:val="21"/>
                <w:szCs w:val="21"/>
                <w:lang w:bidi="ar"/>
              </w:rPr>
              <w:t>或更优材质；</w:t>
            </w:r>
            <w:r>
              <w:rPr>
                <w:rStyle w:val="277"/>
                <w:rFonts w:hint="default"/>
                <w:sz w:val="21"/>
                <w:szCs w:val="21"/>
                <w:lang w:bidi="ar"/>
              </w:rPr>
              <w:t>结构：整体钢制，设40个独立柜门，每门设有独立标题框，每个柜门上下设尼龙 R40 圆角处理，不易碰伤孩子，柜门均带 U 型铝合金镀锌扣手及门吸；五金件：选用品牌锁具及抠手；地脚：下设尼龙脚垫；</w:t>
            </w:r>
            <w:r>
              <w:rPr>
                <w:rStyle w:val="277"/>
                <w:rFonts w:hint="default"/>
                <w:sz w:val="21"/>
                <w:szCs w:val="21"/>
                <w:lang w:bidi="ar"/>
              </w:rPr>
              <w:br w:type="textWrapping"/>
            </w:r>
            <w:r>
              <w:rPr>
                <w:rStyle w:val="277"/>
                <w:rFonts w:hint="default"/>
                <w:sz w:val="21"/>
                <w:szCs w:val="21"/>
                <w:lang w:bidi="ar"/>
              </w:rPr>
              <w:t>#</w:t>
            </w:r>
            <w:r>
              <w:rPr>
                <w:rStyle w:val="277"/>
                <w:sz w:val="21"/>
                <w:szCs w:val="21"/>
                <w:lang w:bidi="ar"/>
              </w:rPr>
              <w:t>3.供应</w:t>
            </w:r>
            <w:r>
              <w:rPr>
                <w:rStyle w:val="277"/>
                <w:b w:val="0"/>
                <w:bCs w:val="0"/>
                <w:sz w:val="21"/>
                <w:szCs w:val="21"/>
                <w:lang w:bidi="ar"/>
              </w:rPr>
              <w:t>商需</w:t>
            </w:r>
            <w:r>
              <w:rPr>
                <w:rStyle w:val="274"/>
                <w:rFonts w:hint="default"/>
                <w:b w:val="0"/>
                <w:bCs w:val="0"/>
                <w:sz w:val="21"/>
                <w:szCs w:val="21"/>
                <w:lang w:bidi="ar"/>
              </w:rPr>
              <w:t>提供书包柜</w:t>
            </w:r>
            <w:r>
              <w:rPr>
                <w:rStyle w:val="276"/>
                <w:b w:val="0"/>
                <w:bCs w:val="0"/>
                <w:sz w:val="21"/>
                <w:szCs w:val="21"/>
                <w:lang w:bidi="ar"/>
              </w:rPr>
              <w:t>由有效的第三方检测机构出具的</w:t>
            </w:r>
            <w:r>
              <w:rPr>
                <w:rStyle w:val="274"/>
                <w:rFonts w:hint="default"/>
                <w:b w:val="0"/>
                <w:bCs w:val="0"/>
                <w:sz w:val="21"/>
                <w:szCs w:val="21"/>
                <w:lang w:bidi="ar"/>
              </w:rPr>
              <w:t>检测报告复印件</w:t>
            </w:r>
            <w:r>
              <w:rPr>
                <w:rStyle w:val="274"/>
                <w:b w:val="0"/>
                <w:bCs w:val="0"/>
                <w:sz w:val="21"/>
                <w:szCs w:val="21"/>
                <w:lang w:bidi="ar"/>
              </w:rPr>
              <w:t>并</w:t>
            </w:r>
            <w:r>
              <w:rPr>
                <w:rStyle w:val="274"/>
                <w:rFonts w:hint="default"/>
                <w:b w:val="0"/>
                <w:bCs w:val="0"/>
                <w:sz w:val="21"/>
                <w:szCs w:val="21"/>
                <w:lang w:bidi="ar"/>
              </w:rPr>
              <w:t>加盖</w:t>
            </w:r>
            <w:r>
              <w:rPr>
                <w:rStyle w:val="274"/>
                <w:b w:val="0"/>
                <w:bCs w:val="0"/>
                <w:sz w:val="21"/>
                <w:szCs w:val="21"/>
                <w:lang w:bidi="ar"/>
              </w:rPr>
              <w:t>供应商</w:t>
            </w:r>
            <w:r>
              <w:rPr>
                <w:rStyle w:val="274"/>
                <w:rFonts w:hint="default"/>
                <w:b w:val="0"/>
                <w:bCs w:val="0"/>
                <w:sz w:val="21"/>
                <w:szCs w:val="21"/>
                <w:lang w:bidi="ar"/>
              </w:rPr>
              <w:t>公章</w:t>
            </w:r>
            <w:r>
              <w:rPr>
                <w:rStyle w:val="274"/>
                <w:b w:val="0"/>
                <w:bCs w:val="0"/>
                <w:sz w:val="21"/>
                <w:szCs w:val="21"/>
                <w:lang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组</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 </w:t>
            </w:r>
          </w:p>
        </w:tc>
      </w:tr>
      <w:tr>
        <w:tblPrEx>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宋体" w:hAnsi="宋体" w:cs="宋体"/>
                <w:color w:val="000000"/>
                <w:szCs w:val="21"/>
              </w:rPr>
            </w:pPr>
            <w:r>
              <w:rPr>
                <w:rFonts w:hint="eastAsia" w:ascii="宋体" w:hAnsi="宋体" w:cs="宋体"/>
                <w:b/>
                <w:bCs/>
                <w:color w:val="000000"/>
                <w:kern w:val="0"/>
                <w:szCs w:val="21"/>
                <w:lang w:bidi="ar"/>
              </w:rPr>
              <w:t>二、现代教育</w:t>
            </w:r>
          </w:p>
        </w:tc>
      </w:tr>
      <w:tr>
        <w:tblPrEx>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成套多媒体设备</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湿擦式复合黑板</w:t>
            </w:r>
          </w:p>
        </w:tc>
        <w:tc>
          <w:tcPr>
            <w:tcW w:w="6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277"/>
                <w:rFonts w:hint="default"/>
                <w:sz w:val="21"/>
                <w:szCs w:val="21"/>
                <w:lang w:bidi="ar"/>
              </w:rPr>
            </w:pPr>
            <w:r>
              <w:rPr>
                <w:rStyle w:val="277"/>
                <w:sz w:val="21"/>
                <w:szCs w:val="21"/>
                <w:lang w:bidi="ar"/>
              </w:rPr>
              <w:t>1.</w:t>
            </w:r>
            <w:r>
              <w:rPr>
                <w:rStyle w:val="277"/>
                <w:rFonts w:hint="default"/>
                <w:sz w:val="21"/>
                <w:szCs w:val="21"/>
                <w:lang w:bidi="ar"/>
              </w:rPr>
              <w:t>参考规格：外径4000*1310mm</w:t>
            </w:r>
            <w:r>
              <w:rPr>
                <w:rStyle w:val="277"/>
                <w:sz w:val="21"/>
                <w:szCs w:val="21"/>
                <w:lang w:bidi="ar"/>
              </w:rPr>
              <w:t>±10mm</w:t>
            </w:r>
            <w:r>
              <w:rPr>
                <w:rStyle w:val="277"/>
                <w:rFonts w:hint="default"/>
                <w:sz w:val="21"/>
                <w:szCs w:val="21"/>
                <w:lang w:bidi="ar"/>
              </w:rPr>
              <w:t>，由四块组合推拉（一体机居中）或者两块组合推拉（一体机居一侧安装），具体尺寸可根据多媒体设备需要规格尺寸适当调整。</w:t>
            </w:r>
            <w:r>
              <w:rPr>
                <w:rStyle w:val="277"/>
                <w:rFonts w:hint="default"/>
                <w:sz w:val="21"/>
                <w:szCs w:val="21"/>
                <w:lang w:bidi="ar"/>
              </w:rPr>
              <w:br w:type="textWrapping"/>
            </w:r>
            <w:r>
              <w:rPr>
                <w:rStyle w:val="277"/>
                <w:b/>
                <w:bCs/>
                <w:sz w:val="21"/>
                <w:szCs w:val="21"/>
                <w:lang w:bidi="ar"/>
              </w:rPr>
              <w:t>一、</w:t>
            </w:r>
            <w:r>
              <w:rPr>
                <w:rStyle w:val="277"/>
                <w:rFonts w:hint="default"/>
                <w:b/>
                <w:bCs/>
                <w:sz w:val="21"/>
                <w:szCs w:val="21"/>
                <w:lang w:bidi="ar"/>
              </w:rPr>
              <w:t>面板</w:t>
            </w:r>
          </w:p>
          <w:p>
            <w:pPr>
              <w:widowControl/>
              <w:jc w:val="left"/>
              <w:textAlignment w:val="center"/>
              <w:rPr>
                <w:rStyle w:val="277"/>
                <w:rFonts w:hint="default"/>
                <w:sz w:val="21"/>
                <w:szCs w:val="21"/>
                <w:lang w:bidi="ar"/>
              </w:rPr>
            </w:pPr>
            <w:r>
              <w:rPr>
                <w:rStyle w:val="277"/>
                <w:sz w:val="21"/>
                <w:szCs w:val="21"/>
                <w:lang w:bidi="ar"/>
              </w:rPr>
              <w:t>1.</w:t>
            </w:r>
            <w:r>
              <w:rPr>
                <w:rStyle w:val="277"/>
                <w:rFonts w:hint="default"/>
                <w:sz w:val="21"/>
                <w:szCs w:val="21"/>
                <w:lang w:bidi="ar"/>
              </w:rPr>
              <w:t>采用搪瓷板面，整板无拼接，视觉舒适，用眼不疲劳；厚度：≥0.4mm；涂层硬度≥8H。适用于普通粉笔和普通板擦，易写易擦；抗撞击、磨损、刮擦、不褪色；为保障师生健康，产品不得含有镉、铅、汞等有害物质；</w:t>
            </w:r>
            <w:r>
              <w:rPr>
                <w:rStyle w:val="277"/>
                <w:rFonts w:hint="default"/>
                <w:sz w:val="21"/>
                <w:szCs w:val="21"/>
                <w:lang w:bidi="ar"/>
              </w:rPr>
              <w:br w:type="textWrapping"/>
            </w:r>
            <w:r>
              <w:rPr>
                <w:rStyle w:val="277"/>
                <w:b/>
                <w:bCs/>
                <w:sz w:val="21"/>
                <w:szCs w:val="21"/>
                <w:lang w:bidi="ar"/>
              </w:rPr>
              <w:t>二、夹层</w:t>
            </w:r>
          </w:p>
          <w:p>
            <w:pPr>
              <w:widowControl/>
              <w:jc w:val="left"/>
              <w:textAlignment w:val="center"/>
              <w:rPr>
                <w:rStyle w:val="277"/>
                <w:rFonts w:hint="default"/>
                <w:sz w:val="21"/>
                <w:szCs w:val="21"/>
                <w:lang w:bidi="ar"/>
              </w:rPr>
            </w:pPr>
            <w:r>
              <w:rPr>
                <w:rStyle w:val="277"/>
                <w:sz w:val="21"/>
                <w:szCs w:val="21"/>
                <w:lang w:bidi="ar"/>
              </w:rPr>
              <w:t>1.</w:t>
            </w:r>
            <w:r>
              <w:rPr>
                <w:rStyle w:val="277"/>
                <w:rFonts w:hint="default"/>
                <w:sz w:val="21"/>
                <w:szCs w:val="21"/>
                <w:lang w:bidi="ar"/>
              </w:rPr>
              <w:t>采用挤塑聚苯乙烯泡沫塑料板，软硬适中，厚度≥14mm，平整、环保，有弹性，不变形，整张无接缝,甲醛释放量mg/</w:t>
            </w:r>
            <w:r>
              <w:rPr>
                <w:rStyle w:val="277"/>
                <w:sz w:val="21"/>
                <w:szCs w:val="21"/>
                <w:lang w:bidi="ar"/>
              </w:rPr>
              <w:t>≤</w:t>
            </w:r>
            <w:r>
              <w:rPr>
                <w:rStyle w:val="277"/>
                <w:rFonts w:hint="default"/>
                <w:sz w:val="21"/>
                <w:szCs w:val="21"/>
                <w:lang w:bidi="ar"/>
              </w:rPr>
              <w:t>1.5。</w:t>
            </w:r>
            <w:r>
              <w:rPr>
                <w:rStyle w:val="277"/>
                <w:rFonts w:hint="default"/>
                <w:sz w:val="21"/>
                <w:szCs w:val="21"/>
                <w:lang w:bidi="ar"/>
              </w:rPr>
              <w:br w:type="textWrapping"/>
            </w:r>
            <w:r>
              <w:rPr>
                <w:rStyle w:val="277"/>
                <w:b/>
                <w:bCs/>
                <w:sz w:val="21"/>
                <w:szCs w:val="21"/>
                <w:lang w:bidi="ar"/>
              </w:rPr>
              <w:t>三、背面</w:t>
            </w:r>
          </w:p>
          <w:p>
            <w:pPr>
              <w:widowControl/>
              <w:jc w:val="left"/>
              <w:textAlignment w:val="center"/>
              <w:rPr>
                <w:rStyle w:val="277"/>
                <w:rFonts w:hint="default"/>
                <w:sz w:val="21"/>
                <w:szCs w:val="21"/>
                <w:lang w:bidi="ar"/>
              </w:rPr>
            </w:pPr>
            <w:r>
              <w:rPr>
                <w:rStyle w:val="277"/>
                <w:sz w:val="21"/>
                <w:szCs w:val="21"/>
                <w:lang w:bidi="ar"/>
              </w:rPr>
              <w:t>1.</w:t>
            </w:r>
            <w:r>
              <w:rPr>
                <w:rStyle w:val="277"/>
                <w:rFonts w:hint="default"/>
                <w:sz w:val="21"/>
                <w:szCs w:val="21"/>
                <w:lang w:bidi="ar"/>
              </w:rPr>
              <w:t>采用整块防锈镀锌板，厚度≥0.20mm，经胶粘合高压定型，胶合牢固，耐腐蚀、耐冲击、防水、防潮、经久耐用，书写板面平整，永不脱壳，各项指标均达到国际环保要求。</w:t>
            </w:r>
            <w:r>
              <w:rPr>
                <w:rStyle w:val="277"/>
                <w:rFonts w:hint="default"/>
                <w:sz w:val="21"/>
                <w:szCs w:val="21"/>
                <w:lang w:bidi="ar"/>
              </w:rPr>
              <w:br w:type="textWrapping"/>
            </w:r>
            <w:r>
              <w:rPr>
                <w:rStyle w:val="277"/>
                <w:b/>
                <w:bCs/>
                <w:sz w:val="21"/>
                <w:szCs w:val="21"/>
                <w:lang w:bidi="ar"/>
              </w:rPr>
              <w:t>四、外框</w:t>
            </w:r>
            <w:r>
              <w:rPr>
                <w:rStyle w:val="277"/>
                <w:rFonts w:hint="default"/>
                <w:sz w:val="21"/>
                <w:szCs w:val="21"/>
                <w:lang w:bidi="ar"/>
              </w:rPr>
              <w:br w:type="textWrapping"/>
            </w:r>
            <w:r>
              <w:rPr>
                <w:rStyle w:val="277"/>
                <w:rFonts w:hint="default"/>
                <w:sz w:val="21"/>
                <w:szCs w:val="21"/>
                <w:lang w:bidi="ar"/>
              </w:rPr>
              <w:t>1</w:t>
            </w:r>
            <w:r>
              <w:rPr>
                <w:rStyle w:val="277"/>
                <w:sz w:val="21"/>
                <w:szCs w:val="21"/>
                <w:lang w:bidi="ar"/>
              </w:rPr>
              <w:t>.</w:t>
            </w:r>
            <w:r>
              <w:rPr>
                <w:rStyle w:val="277"/>
                <w:rFonts w:hint="default"/>
                <w:sz w:val="21"/>
                <w:szCs w:val="21"/>
                <w:lang w:bidi="ar"/>
              </w:rPr>
              <w:t>采用磨砂亚光电泳铝材，外框与轨道一体化流线型设计，色泽柔和，不反光。</w:t>
            </w:r>
            <w:r>
              <w:rPr>
                <w:rStyle w:val="277"/>
                <w:rFonts w:hint="default"/>
                <w:sz w:val="21"/>
                <w:szCs w:val="21"/>
                <w:lang w:bidi="ar"/>
              </w:rPr>
              <w:br w:type="textWrapping"/>
            </w:r>
            <w:r>
              <w:rPr>
                <w:rStyle w:val="277"/>
                <w:rFonts w:hint="default"/>
                <w:sz w:val="21"/>
                <w:szCs w:val="21"/>
                <w:lang w:bidi="ar"/>
              </w:rPr>
              <w:t>2</w:t>
            </w:r>
            <w:r>
              <w:rPr>
                <w:rStyle w:val="277"/>
                <w:sz w:val="21"/>
                <w:szCs w:val="21"/>
                <w:lang w:bidi="ar"/>
              </w:rPr>
              <w:t>.</w:t>
            </w:r>
            <w:r>
              <w:rPr>
                <w:rStyle w:val="277"/>
                <w:rFonts w:hint="default"/>
                <w:sz w:val="21"/>
                <w:szCs w:val="21"/>
                <w:lang w:bidi="ar"/>
              </w:rPr>
              <w:t>上滑轨采用内置下开口C形滑动槽，不落存灰尘，防止推拉板脱轨弹出，永久性推拉顺畅并能保持合理的滑动阻尼，滑动组件不可视，噪音低。</w:t>
            </w:r>
            <w:r>
              <w:rPr>
                <w:rStyle w:val="277"/>
                <w:rFonts w:hint="default"/>
                <w:sz w:val="21"/>
                <w:szCs w:val="21"/>
                <w:lang w:bidi="ar"/>
              </w:rPr>
              <w:br w:type="textWrapping"/>
            </w:r>
            <w:r>
              <w:rPr>
                <w:rStyle w:val="277"/>
                <w:rFonts w:hint="default"/>
                <w:sz w:val="21"/>
                <w:szCs w:val="21"/>
                <w:lang w:bidi="ar"/>
              </w:rPr>
              <w:t>3</w:t>
            </w:r>
            <w:r>
              <w:rPr>
                <w:rStyle w:val="277"/>
                <w:sz w:val="21"/>
                <w:szCs w:val="21"/>
                <w:lang w:bidi="ar"/>
              </w:rPr>
              <w:t>.</w:t>
            </w:r>
            <w:r>
              <w:rPr>
                <w:rStyle w:val="277"/>
                <w:rFonts w:hint="default"/>
                <w:sz w:val="21"/>
                <w:szCs w:val="21"/>
                <w:lang w:bidi="ar"/>
              </w:rPr>
              <w:t>外框总宽: 106mm</w:t>
            </w:r>
            <w:r>
              <w:rPr>
                <w:rStyle w:val="277"/>
                <w:sz w:val="21"/>
                <w:szCs w:val="21"/>
                <w:lang w:bidi="ar"/>
              </w:rPr>
              <w:t>±5mm</w:t>
            </w:r>
            <w:r>
              <w:rPr>
                <w:rStyle w:val="277"/>
                <w:rFonts w:hint="default"/>
                <w:sz w:val="21"/>
                <w:szCs w:val="21"/>
                <w:lang w:bidi="ar"/>
              </w:rPr>
              <w:t>，宽40mm</w:t>
            </w:r>
            <w:r>
              <w:rPr>
                <w:rStyle w:val="277"/>
                <w:sz w:val="21"/>
                <w:szCs w:val="21"/>
                <w:lang w:bidi="ar"/>
              </w:rPr>
              <w:t>±5mm</w:t>
            </w:r>
            <w:r>
              <w:rPr>
                <w:rStyle w:val="277"/>
                <w:rFonts w:hint="default"/>
                <w:sz w:val="21"/>
                <w:szCs w:val="21"/>
                <w:lang w:bidi="ar"/>
              </w:rPr>
              <w:t>，内黑板框：宽35mm</w:t>
            </w:r>
            <w:r>
              <w:rPr>
                <w:rStyle w:val="277"/>
                <w:sz w:val="21"/>
                <w:szCs w:val="21"/>
                <w:lang w:bidi="ar"/>
              </w:rPr>
              <w:t>±5mm</w:t>
            </w:r>
            <w:r>
              <w:rPr>
                <w:rStyle w:val="277"/>
                <w:rFonts w:hint="default"/>
                <w:sz w:val="21"/>
                <w:szCs w:val="21"/>
                <w:lang w:bidi="ar"/>
              </w:rPr>
              <w:t>。两块活动板边框采用同颜色窄边工艺。</w:t>
            </w:r>
            <w:r>
              <w:rPr>
                <w:rStyle w:val="277"/>
                <w:rFonts w:hint="default"/>
                <w:sz w:val="21"/>
                <w:szCs w:val="21"/>
                <w:lang w:bidi="ar"/>
              </w:rPr>
              <w:br w:type="textWrapping"/>
            </w:r>
            <w:r>
              <w:rPr>
                <w:rStyle w:val="277"/>
                <w:rFonts w:hint="default"/>
                <w:sz w:val="21"/>
                <w:szCs w:val="21"/>
                <w:lang w:bidi="ar"/>
              </w:rPr>
              <w:t>4</w:t>
            </w:r>
            <w:r>
              <w:rPr>
                <w:rStyle w:val="277"/>
                <w:sz w:val="21"/>
                <w:szCs w:val="21"/>
                <w:lang w:bidi="ar"/>
              </w:rPr>
              <w:t>.</w:t>
            </w:r>
            <w:r>
              <w:rPr>
                <w:rStyle w:val="277"/>
                <w:rFonts w:hint="default"/>
                <w:sz w:val="21"/>
                <w:szCs w:val="21"/>
                <w:lang w:bidi="ar"/>
              </w:rPr>
              <w:t>外框与加厚连接板有钳口连接，无缝隙。</w:t>
            </w:r>
            <w:r>
              <w:rPr>
                <w:rStyle w:val="277"/>
                <w:rFonts w:hint="default"/>
                <w:sz w:val="21"/>
                <w:szCs w:val="21"/>
                <w:lang w:bidi="ar"/>
              </w:rPr>
              <w:br w:type="textWrapping"/>
            </w:r>
            <w:r>
              <w:rPr>
                <w:rStyle w:val="277"/>
                <w:sz w:val="21"/>
                <w:szCs w:val="21"/>
                <w:lang w:bidi="ar"/>
              </w:rPr>
              <w:t>#</w:t>
            </w:r>
            <w:r>
              <w:rPr>
                <w:rStyle w:val="277"/>
                <w:rFonts w:hint="default"/>
                <w:sz w:val="21"/>
                <w:szCs w:val="21"/>
                <w:lang w:bidi="ar"/>
              </w:rPr>
              <w:t>5</w:t>
            </w:r>
            <w:r>
              <w:rPr>
                <w:rStyle w:val="277"/>
                <w:sz w:val="21"/>
                <w:szCs w:val="21"/>
                <w:lang w:bidi="ar"/>
              </w:rPr>
              <w:t>.</w:t>
            </w:r>
            <w:r>
              <w:rPr>
                <w:rStyle w:val="277"/>
                <w:rFonts w:hint="default"/>
                <w:sz w:val="21"/>
                <w:szCs w:val="21"/>
                <w:lang w:bidi="ar"/>
              </w:rPr>
              <w:t>黑板下方设置通长，宽</w:t>
            </w:r>
            <w:r>
              <w:rPr>
                <w:rStyle w:val="277"/>
                <w:sz w:val="21"/>
                <w:szCs w:val="21"/>
                <w:lang w:bidi="ar"/>
              </w:rPr>
              <w:t>≥</w:t>
            </w:r>
            <w:r>
              <w:rPr>
                <w:rStyle w:val="277"/>
                <w:rFonts w:hint="default"/>
                <w:sz w:val="21"/>
                <w:szCs w:val="21"/>
                <w:lang w:bidi="ar"/>
              </w:rPr>
              <w:t>70mm的开放式粉笔槽，与下滑轨一体化设计，粉笔槽可放置黑板刷、粉笔等教学小物品。</w:t>
            </w:r>
            <w:r>
              <w:rPr>
                <w:rStyle w:val="277"/>
                <w:rFonts w:hint="default"/>
                <w:sz w:val="21"/>
                <w:szCs w:val="21"/>
                <w:lang w:bidi="ar"/>
              </w:rPr>
              <w:br w:type="textWrapping"/>
            </w:r>
            <w:r>
              <w:rPr>
                <w:rStyle w:val="277"/>
                <w:rFonts w:hint="default"/>
                <w:sz w:val="21"/>
                <w:szCs w:val="21"/>
                <w:lang w:bidi="ar"/>
              </w:rPr>
              <w:t>6</w:t>
            </w:r>
            <w:r>
              <w:rPr>
                <w:rStyle w:val="277"/>
                <w:sz w:val="21"/>
                <w:szCs w:val="21"/>
                <w:lang w:bidi="ar"/>
              </w:rPr>
              <w:t>.</w:t>
            </w:r>
            <w:r>
              <w:rPr>
                <w:rStyle w:val="277"/>
                <w:rFonts w:hint="default"/>
                <w:sz w:val="21"/>
                <w:szCs w:val="21"/>
                <w:lang w:bidi="ar"/>
              </w:rPr>
              <w:t>活动黑板拉手装于黑板下边框；黑板锁装配在活动黑板下方的塑料插角内，关闭黑板时可锁止活动黑板。</w:t>
            </w:r>
            <w:r>
              <w:rPr>
                <w:rStyle w:val="277"/>
                <w:rFonts w:hint="default"/>
                <w:sz w:val="21"/>
                <w:szCs w:val="21"/>
                <w:lang w:bidi="ar"/>
              </w:rPr>
              <w:br w:type="textWrapping"/>
            </w:r>
            <w:r>
              <w:rPr>
                <w:rStyle w:val="277"/>
                <w:b/>
                <w:bCs/>
                <w:sz w:val="21"/>
                <w:szCs w:val="21"/>
                <w:lang w:bidi="ar"/>
              </w:rPr>
              <w:t>五、滑动系统</w:t>
            </w:r>
            <w:r>
              <w:rPr>
                <w:rStyle w:val="277"/>
                <w:rFonts w:hint="default"/>
                <w:sz w:val="21"/>
                <w:szCs w:val="21"/>
                <w:lang w:bidi="ar"/>
              </w:rPr>
              <w:t>：</w:t>
            </w:r>
            <w:r>
              <w:rPr>
                <w:rStyle w:val="277"/>
                <w:rFonts w:hint="default"/>
                <w:sz w:val="21"/>
                <w:szCs w:val="21"/>
                <w:lang w:bidi="ar"/>
              </w:rPr>
              <w:br w:type="textWrapping"/>
            </w:r>
            <w:r>
              <w:rPr>
                <w:rStyle w:val="277"/>
                <w:rFonts w:hint="default"/>
                <w:sz w:val="21"/>
                <w:szCs w:val="21"/>
                <w:lang w:bidi="ar"/>
              </w:rPr>
              <w:t>1</w:t>
            </w:r>
            <w:r>
              <w:rPr>
                <w:rStyle w:val="277"/>
                <w:sz w:val="21"/>
                <w:szCs w:val="21"/>
                <w:lang w:bidi="ar"/>
              </w:rPr>
              <w:t>.</w:t>
            </w:r>
            <w:r>
              <w:rPr>
                <w:rStyle w:val="277"/>
                <w:rFonts w:hint="default"/>
                <w:sz w:val="21"/>
                <w:szCs w:val="21"/>
                <w:lang w:bidi="ar"/>
              </w:rPr>
              <w:t>滑轮采用轴承钢内芯尼龙一字型双滑轮，每块活动黑板配两组滑轮，每组由滑轮和专用金属支架组成，黑板下方采用耐磨尼龙滑块，推拉时轻巧灵活，紧凑无松动，不脱落，无噪音；缓冲垫隐形安装于黑板框内侧。</w:t>
            </w:r>
            <w:r>
              <w:rPr>
                <w:rStyle w:val="277"/>
                <w:rFonts w:hint="default"/>
                <w:sz w:val="21"/>
                <w:szCs w:val="21"/>
                <w:lang w:bidi="ar"/>
              </w:rPr>
              <w:br w:type="textWrapping"/>
            </w:r>
            <w:r>
              <w:rPr>
                <w:rStyle w:val="277"/>
                <w:b/>
                <w:bCs/>
                <w:sz w:val="21"/>
                <w:szCs w:val="21"/>
                <w:lang w:bidi="ar"/>
              </w:rPr>
              <w:t>六、安装要求</w:t>
            </w:r>
            <w:r>
              <w:rPr>
                <w:rStyle w:val="277"/>
                <w:rFonts w:hint="default"/>
                <w:sz w:val="21"/>
                <w:szCs w:val="21"/>
                <w:lang w:bidi="ar"/>
              </w:rPr>
              <w:t>：</w:t>
            </w:r>
          </w:p>
          <w:p>
            <w:pPr>
              <w:widowControl/>
              <w:jc w:val="left"/>
              <w:textAlignment w:val="center"/>
              <w:rPr>
                <w:rFonts w:ascii="宋体" w:hAnsi="宋体" w:cs="宋体"/>
                <w:color w:val="000000"/>
                <w:szCs w:val="21"/>
              </w:rPr>
            </w:pPr>
            <w:r>
              <w:rPr>
                <w:rStyle w:val="277"/>
                <w:sz w:val="21"/>
                <w:szCs w:val="21"/>
                <w:lang w:bidi="ar"/>
              </w:rPr>
              <w:t>1.</w:t>
            </w:r>
            <w:r>
              <w:rPr>
                <w:rStyle w:val="277"/>
                <w:rFonts w:hint="default"/>
                <w:sz w:val="21"/>
                <w:szCs w:val="21"/>
                <w:lang w:bidi="ar"/>
              </w:rPr>
              <w:t>全部实行隐形安装，安全可靠。</w:t>
            </w:r>
            <w:r>
              <w:rPr>
                <w:rStyle w:val="277"/>
                <w:rFonts w:hint="default"/>
                <w:sz w:val="21"/>
                <w:szCs w:val="21"/>
                <w:lang w:bidi="ar"/>
              </w:rPr>
              <w:br w:type="textWrapping"/>
            </w:r>
            <w:r>
              <w:rPr>
                <w:rStyle w:val="277"/>
                <w:sz w:val="21"/>
                <w:szCs w:val="21"/>
                <w:lang w:bidi="ar"/>
              </w:rPr>
              <w:t>#2.供应商需</w:t>
            </w:r>
            <w:r>
              <w:rPr>
                <w:rStyle w:val="277"/>
                <w:rFonts w:hint="default"/>
                <w:sz w:val="21"/>
                <w:szCs w:val="21"/>
                <w:lang w:bidi="ar"/>
              </w:rPr>
              <w:t>提供教学用金属教学书写板</w:t>
            </w:r>
            <w:r>
              <w:rPr>
                <w:rStyle w:val="277"/>
                <w:sz w:val="21"/>
                <w:szCs w:val="21"/>
                <w:lang w:bidi="ar"/>
              </w:rPr>
              <w:t>由有效的第三方检测机构出具的</w:t>
            </w:r>
            <w:r>
              <w:rPr>
                <w:rStyle w:val="277"/>
                <w:rFonts w:hint="default"/>
                <w:sz w:val="21"/>
                <w:szCs w:val="21"/>
                <w:lang w:bidi="ar"/>
              </w:rPr>
              <w:t>符合GB28231-2011《书写板安全卫生</w:t>
            </w:r>
            <w:r>
              <w:rPr>
                <w:rStyle w:val="277"/>
                <w:sz w:val="21"/>
                <w:szCs w:val="21"/>
                <w:lang w:bidi="ar"/>
              </w:rPr>
              <w:t>要</w:t>
            </w:r>
            <w:r>
              <w:rPr>
                <w:rStyle w:val="277"/>
                <w:rFonts w:hint="default"/>
                <w:sz w:val="21"/>
                <w:szCs w:val="21"/>
                <w:lang w:bidi="ar"/>
              </w:rPr>
              <w:t>求》的检测报告</w:t>
            </w:r>
            <w:r>
              <w:rPr>
                <w:rStyle w:val="277"/>
                <w:sz w:val="21"/>
                <w:szCs w:val="21"/>
                <w:lang w:bidi="ar"/>
              </w:rPr>
              <w:t>复印件</w:t>
            </w:r>
            <w:r>
              <w:rPr>
                <w:rStyle w:val="277"/>
                <w:rFonts w:hint="default"/>
                <w:sz w:val="21"/>
                <w:szCs w:val="21"/>
                <w:lang w:bidi="ar"/>
              </w:rPr>
              <w:t>；</w:t>
            </w:r>
            <w:r>
              <w:rPr>
                <w:rStyle w:val="277"/>
                <w:rFonts w:hint="default"/>
                <w:sz w:val="21"/>
                <w:szCs w:val="21"/>
                <w:lang w:bidi="ar"/>
              </w:rPr>
              <w:br w:type="textWrapping"/>
            </w:r>
            <w:r>
              <w:rPr>
                <w:rStyle w:val="277"/>
                <w:sz w:val="21"/>
                <w:szCs w:val="21"/>
                <w:lang w:bidi="ar"/>
              </w:rPr>
              <w:t>#3.供应商需</w:t>
            </w:r>
            <w:r>
              <w:rPr>
                <w:rStyle w:val="277"/>
                <w:rFonts w:hint="default"/>
                <w:sz w:val="21"/>
                <w:szCs w:val="21"/>
                <w:lang w:bidi="ar"/>
              </w:rPr>
              <w:t>提供教学金属书写板</w:t>
            </w:r>
            <w:r>
              <w:rPr>
                <w:rStyle w:val="277"/>
                <w:sz w:val="21"/>
                <w:szCs w:val="21"/>
                <w:lang w:bidi="ar"/>
              </w:rPr>
              <w:t>由有效的第三方检测机构出具的</w:t>
            </w:r>
            <w:r>
              <w:rPr>
                <w:rStyle w:val="277"/>
                <w:rFonts w:hint="default"/>
                <w:sz w:val="21"/>
                <w:szCs w:val="21"/>
                <w:lang w:bidi="ar"/>
              </w:rPr>
              <w:t>符合GB9274-1988《色漆和清漆 耐液体介质的测定》标准的耐酸碱耐溶剂48h的检测报告</w:t>
            </w:r>
            <w:r>
              <w:rPr>
                <w:rStyle w:val="277"/>
                <w:sz w:val="21"/>
                <w:szCs w:val="21"/>
                <w:lang w:bidi="ar"/>
              </w:rPr>
              <w:t>复印件</w:t>
            </w:r>
            <w:r>
              <w:rPr>
                <w:rStyle w:val="277"/>
                <w:rFonts w:hint="default"/>
                <w:sz w:val="21"/>
                <w:szCs w:val="21"/>
                <w:lang w:bidi="ar"/>
              </w:rPr>
              <w:t>。</w:t>
            </w:r>
            <w:r>
              <w:rPr>
                <w:rStyle w:val="277"/>
                <w:rFonts w:hint="default"/>
                <w:sz w:val="21"/>
                <w:szCs w:val="21"/>
                <w:lang w:bidi="ar"/>
              </w:rPr>
              <w:br w:type="textWrapping"/>
            </w:r>
            <w:r>
              <w:rPr>
                <w:rStyle w:val="277"/>
                <w:sz w:val="21"/>
                <w:szCs w:val="21"/>
                <w:lang w:bidi="ar"/>
              </w:rPr>
              <w:t>#4.供应商需</w:t>
            </w:r>
            <w:r>
              <w:rPr>
                <w:rStyle w:val="277"/>
                <w:rFonts w:hint="default"/>
                <w:sz w:val="21"/>
                <w:szCs w:val="21"/>
                <w:lang w:bidi="ar"/>
              </w:rPr>
              <w:t>提供</w:t>
            </w:r>
            <w:r>
              <w:rPr>
                <w:rStyle w:val="277"/>
                <w:sz w:val="21"/>
                <w:szCs w:val="21"/>
                <w:lang w:bidi="ar"/>
              </w:rPr>
              <w:t>由有效的第三方检测机构出具的</w:t>
            </w:r>
            <w:r>
              <w:rPr>
                <w:rStyle w:val="277"/>
                <w:rFonts w:hint="default"/>
                <w:sz w:val="21"/>
                <w:szCs w:val="21"/>
                <w:lang w:bidi="ar"/>
              </w:rPr>
              <w:t>面板油漆不含汞等有害物质的检测报告复印件并加盖</w:t>
            </w:r>
            <w:r>
              <w:rPr>
                <w:rStyle w:val="277"/>
                <w:sz w:val="21"/>
                <w:szCs w:val="21"/>
                <w:lang w:bidi="ar"/>
              </w:rPr>
              <w:t>供应</w:t>
            </w:r>
            <w:r>
              <w:rPr>
                <w:rStyle w:val="277"/>
                <w:rFonts w:hint="default"/>
                <w:sz w:val="21"/>
                <w:szCs w:val="21"/>
                <w:lang w:bidi="ar"/>
              </w:rPr>
              <w:t>商公章；</w:t>
            </w:r>
            <w:r>
              <w:rPr>
                <w:rStyle w:val="274"/>
                <w:rFonts w:hint="default"/>
                <w:sz w:val="21"/>
                <w:szCs w:val="21"/>
                <w:lang w:bidi="ar"/>
              </w:rPr>
              <w:br w:type="textWrapping"/>
            </w:r>
            <w:r>
              <w:rPr>
                <w:rStyle w:val="274"/>
                <w:sz w:val="21"/>
                <w:szCs w:val="21"/>
                <w:lang w:bidi="ar"/>
              </w:rPr>
              <w:t>#5.</w:t>
            </w:r>
            <w:r>
              <w:rPr>
                <w:rStyle w:val="274"/>
                <w:rFonts w:hint="default"/>
                <w:sz w:val="21"/>
                <w:szCs w:val="21"/>
                <w:lang w:bidi="ar"/>
              </w:rPr>
              <w:t>板面质保</w:t>
            </w:r>
            <w:r>
              <w:rPr>
                <w:rStyle w:val="274"/>
                <w:sz w:val="21"/>
                <w:szCs w:val="21"/>
                <w:lang w:bidi="ar"/>
              </w:rPr>
              <w:t>至少</w:t>
            </w:r>
            <w:r>
              <w:rPr>
                <w:rStyle w:val="274"/>
                <w:rFonts w:hint="default"/>
                <w:sz w:val="21"/>
                <w:szCs w:val="21"/>
                <w:lang w:bidi="ar"/>
              </w:rPr>
              <w:t>10年。</w:t>
            </w:r>
            <w:r>
              <w:rPr>
                <w:rStyle w:val="277"/>
                <w:rFonts w:hint="default"/>
                <w:sz w:val="21"/>
                <w:szCs w:val="21"/>
                <w:lang w:bidi="ar"/>
              </w:rPr>
              <w:t xml:space="preserve"> </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块</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11 </w:t>
            </w:r>
          </w:p>
        </w:tc>
      </w:tr>
      <w:tr>
        <w:tblPrEx>
          <w:tblCellMar>
            <w:top w:w="0" w:type="dxa"/>
            <w:left w:w="108" w:type="dxa"/>
            <w:bottom w:w="0" w:type="dxa"/>
            <w:right w:w="108" w:type="dxa"/>
          </w:tblCellMar>
        </w:tblPrEx>
        <w:trPr>
          <w:trHeight w:val="1113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视频展台          </w:t>
            </w:r>
          </w:p>
        </w:tc>
        <w:tc>
          <w:tcPr>
            <w:tcW w:w="6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56"/>
              <w:ind w:left="0" w:leftChars="0" w:firstLine="0" w:firstLineChars="0"/>
              <w:rPr>
                <w:rFonts w:hint="eastAsia"/>
                <w:b/>
                <w:bCs/>
              </w:rPr>
            </w:pPr>
            <w:r>
              <w:rPr>
                <w:rFonts w:hint="eastAsia"/>
                <w:b/>
                <w:bCs/>
              </w:rPr>
              <w:t>硬件部分：</w:t>
            </w:r>
          </w:p>
          <w:p>
            <w:pPr>
              <w:pStyle w:val="56"/>
              <w:ind w:left="0" w:leftChars="0" w:firstLine="0" w:firstLineChars="0"/>
              <w:rPr>
                <w:rFonts w:hint="eastAsia"/>
              </w:rPr>
            </w:pPr>
            <w:r>
              <w:rPr>
                <w:rFonts w:hint="eastAsia"/>
              </w:rPr>
              <w:t>1</w:t>
            </w:r>
            <w:r>
              <w:rPr>
                <w:rFonts w:hint="eastAsia"/>
                <w:lang w:val="en-US" w:eastAsia="zh-CN"/>
              </w:rPr>
              <w:t>.</w:t>
            </w:r>
            <w:r>
              <w:rPr>
                <w:rFonts w:hint="eastAsia"/>
              </w:rPr>
              <w:t>壁挂式安装，防盗防破坏。无锐角无利边设计。采用三折叠开合式托板，展开后托板尺寸≥A4面积，收起时小巧不占空间</w:t>
            </w:r>
            <w:r>
              <w:rPr>
                <w:rFonts w:hint="eastAsia"/>
                <w:lang w:eastAsia="zh-CN"/>
              </w:rPr>
              <w:t>；</w:t>
            </w:r>
            <w:r>
              <w:rPr>
                <w:rFonts w:hint="eastAsia"/>
              </w:rPr>
              <w:t>采用USB高速接口，单根USB线实现供电、高清数据传输需求。</w:t>
            </w:r>
          </w:p>
          <w:p>
            <w:pPr>
              <w:pStyle w:val="56"/>
              <w:ind w:left="0" w:leftChars="0" w:firstLine="0" w:firstLineChars="0"/>
              <w:rPr>
                <w:rFonts w:hint="eastAsia"/>
              </w:rPr>
            </w:pPr>
            <w:r>
              <w:rPr>
                <w:rFonts w:hint="eastAsia"/>
              </w:rPr>
              <w:t>#2</w:t>
            </w:r>
            <w:r>
              <w:rPr>
                <w:rFonts w:hint="eastAsia"/>
                <w:lang w:val="en-US" w:eastAsia="zh-CN"/>
              </w:rPr>
              <w:t>.</w:t>
            </w:r>
            <w:r>
              <w:rPr>
                <w:rFonts w:hint="eastAsia"/>
              </w:rPr>
              <w:t>采用无摄像头悬臂设计（</w:t>
            </w:r>
            <w:r>
              <w:rPr>
                <w:rFonts w:hint="eastAsia"/>
                <w:lang w:val="en-US" w:eastAsia="zh-CN"/>
              </w:rPr>
              <w:t>需</w:t>
            </w:r>
            <w:r>
              <w:rPr>
                <w:rFonts w:hint="eastAsia"/>
              </w:rPr>
              <w:t>提供</w:t>
            </w:r>
            <w:r>
              <w:rPr>
                <w:rFonts w:hint="eastAsia"/>
                <w:lang w:val="en-US" w:eastAsia="zh-CN"/>
              </w:rPr>
              <w:t>有效的</w:t>
            </w:r>
            <w:r>
              <w:rPr>
                <w:rFonts w:hint="eastAsia"/>
              </w:rPr>
              <w:t>第三方检测机构出具的检测报告复印件并加盖</w:t>
            </w:r>
            <w:r>
              <w:rPr>
                <w:rFonts w:hint="eastAsia"/>
                <w:lang w:val="en-US" w:eastAsia="zh-CN"/>
              </w:rPr>
              <w:t>供应</w:t>
            </w:r>
            <w:r>
              <w:rPr>
                <w:rFonts w:hint="eastAsia"/>
              </w:rPr>
              <w:t>商公章）。</w:t>
            </w:r>
          </w:p>
          <w:p>
            <w:pPr>
              <w:pStyle w:val="56"/>
              <w:ind w:left="0" w:leftChars="0" w:firstLine="0" w:firstLineChars="0"/>
              <w:rPr>
                <w:rFonts w:hint="eastAsia"/>
              </w:rPr>
            </w:pPr>
            <w:r>
              <w:rPr>
                <w:rFonts w:hint="eastAsia"/>
              </w:rPr>
              <w:t>#3</w:t>
            </w:r>
            <w:r>
              <w:rPr>
                <w:rFonts w:hint="eastAsia"/>
                <w:lang w:eastAsia="zh-CN"/>
              </w:rPr>
              <w:t>.</w:t>
            </w:r>
            <w:r>
              <w:rPr>
                <w:rFonts w:hint="eastAsia"/>
              </w:rPr>
              <w:t>需支持实时视频矫正功能，拍摄画面无梯形畸变，画面如垂直悬臂拍摄效果（</w:t>
            </w:r>
            <w:r>
              <w:rPr>
                <w:rFonts w:hint="eastAsia"/>
                <w:lang w:val="en-US" w:eastAsia="zh-CN"/>
              </w:rPr>
              <w:t>需</w:t>
            </w:r>
            <w:r>
              <w:rPr>
                <w:rFonts w:hint="eastAsia"/>
              </w:rPr>
              <w:t>提供</w:t>
            </w:r>
            <w:r>
              <w:rPr>
                <w:rFonts w:hint="eastAsia"/>
                <w:lang w:val="en-US" w:eastAsia="zh-CN"/>
              </w:rPr>
              <w:t>有效的</w:t>
            </w:r>
            <w:r>
              <w:rPr>
                <w:rFonts w:hint="eastAsia"/>
              </w:rPr>
              <w:t>第三方检测机构出具的检测报告复印件并加盖</w:t>
            </w:r>
            <w:r>
              <w:rPr>
                <w:rFonts w:hint="eastAsia"/>
                <w:lang w:val="en-US" w:eastAsia="zh-CN"/>
              </w:rPr>
              <w:t>供应</w:t>
            </w:r>
            <w:r>
              <w:rPr>
                <w:rFonts w:hint="eastAsia"/>
              </w:rPr>
              <w:t>商公章）。</w:t>
            </w:r>
          </w:p>
          <w:p>
            <w:pPr>
              <w:pStyle w:val="56"/>
              <w:ind w:left="0" w:leftChars="0" w:firstLine="0" w:firstLineChars="0"/>
              <w:rPr>
                <w:rFonts w:hint="eastAsia"/>
              </w:rPr>
            </w:pPr>
            <w:r>
              <w:rPr>
                <w:rFonts w:hint="eastAsia"/>
              </w:rPr>
              <w:t>#</w:t>
            </w:r>
            <w:r>
              <w:rPr>
                <w:rFonts w:hint="eastAsia"/>
                <w:lang w:val="en-US" w:eastAsia="zh-CN"/>
              </w:rPr>
              <w:t>4.</w:t>
            </w:r>
            <w:r>
              <w:rPr>
                <w:rFonts w:hint="eastAsia"/>
              </w:rPr>
              <w:t>采用</w:t>
            </w:r>
            <w:r>
              <w:rPr>
                <w:rFonts w:hint="eastAsia"/>
                <w:lang w:val="en-US" w:eastAsia="zh-CN"/>
              </w:rPr>
              <w:t>≥</w:t>
            </w:r>
            <w:r>
              <w:rPr>
                <w:rFonts w:hint="eastAsia"/>
              </w:rPr>
              <w:t>1300W像素自动对焦摄像头，可拍摄A4画幅。显示视频输出像素≥3840*2160（</w:t>
            </w:r>
            <w:r>
              <w:rPr>
                <w:rFonts w:hint="eastAsia"/>
                <w:lang w:val="en-US" w:eastAsia="zh-CN"/>
              </w:rPr>
              <w:t>需</w:t>
            </w:r>
            <w:r>
              <w:rPr>
                <w:rFonts w:hint="eastAsia"/>
              </w:rPr>
              <w:t>提供</w:t>
            </w:r>
            <w:r>
              <w:rPr>
                <w:rFonts w:hint="eastAsia"/>
                <w:lang w:val="en-US" w:eastAsia="zh-CN"/>
              </w:rPr>
              <w:t>有效的</w:t>
            </w:r>
            <w:r>
              <w:rPr>
                <w:rFonts w:hint="eastAsia"/>
              </w:rPr>
              <w:t>第三方检测机构出具的检测报告复印件并加盖</w:t>
            </w:r>
            <w:r>
              <w:rPr>
                <w:rFonts w:hint="eastAsia"/>
                <w:lang w:val="en-US" w:eastAsia="zh-CN"/>
              </w:rPr>
              <w:t>供应</w:t>
            </w:r>
            <w:r>
              <w:rPr>
                <w:rFonts w:hint="eastAsia"/>
              </w:rPr>
              <w:t>商公章）。</w:t>
            </w:r>
          </w:p>
          <w:p>
            <w:pPr>
              <w:pStyle w:val="56"/>
              <w:ind w:left="0" w:leftChars="0" w:firstLine="0" w:firstLineChars="0"/>
              <w:rPr>
                <w:rFonts w:hint="eastAsia"/>
              </w:rPr>
            </w:pPr>
            <w:r>
              <w:rPr>
                <w:rFonts w:hint="eastAsia"/>
              </w:rPr>
              <w:t>#</w:t>
            </w:r>
            <w:r>
              <w:rPr>
                <w:rFonts w:hint="eastAsia"/>
                <w:lang w:val="en-US" w:eastAsia="zh-CN"/>
              </w:rPr>
              <w:t>5.具有</w:t>
            </w:r>
            <w:r>
              <w:rPr>
                <w:rFonts w:hint="eastAsia"/>
              </w:rPr>
              <w:t>实时降噪功能，并可开关控制（</w:t>
            </w:r>
            <w:r>
              <w:rPr>
                <w:rFonts w:hint="eastAsia"/>
                <w:lang w:val="en-US" w:eastAsia="zh-CN"/>
              </w:rPr>
              <w:t>需</w:t>
            </w:r>
            <w:r>
              <w:rPr>
                <w:rFonts w:hint="eastAsia"/>
              </w:rPr>
              <w:t>提供</w:t>
            </w:r>
            <w:r>
              <w:rPr>
                <w:rFonts w:hint="eastAsia"/>
                <w:lang w:val="en-US" w:eastAsia="zh-CN"/>
              </w:rPr>
              <w:t>有效的</w:t>
            </w:r>
            <w:r>
              <w:rPr>
                <w:rFonts w:hint="eastAsia"/>
              </w:rPr>
              <w:t>第三方检测机构出具的检测报告复印件并加盖</w:t>
            </w:r>
            <w:r>
              <w:rPr>
                <w:rFonts w:hint="eastAsia"/>
                <w:lang w:val="en-US" w:eastAsia="zh-CN"/>
              </w:rPr>
              <w:t>供应</w:t>
            </w:r>
            <w:r>
              <w:rPr>
                <w:rFonts w:hint="eastAsia"/>
              </w:rPr>
              <w:t>商公章）。</w:t>
            </w:r>
          </w:p>
          <w:p>
            <w:pPr>
              <w:pStyle w:val="56"/>
              <w:ind w:left="0" w:leftChars="0" w:firstLine="0" w:firstLineChars="0"/>
              <w:rPr>
                <w:rFonts w:hint="eastAsia"/>
              </w:rPr>
            </w:pPr>
            <w:r>
              <w:rPr>
                <w:rFonts w:hint="eastAsia"/>
              </w:rPr>
              <w:t>#</w:t>
            </w:r>
            <w:r>
              <w:rPr>
                <w:rFonts w:hint="eastAsia"/>
                <w:lang w:val="en-US" w:eastAsia="zh-CN"/>
              </w:rPr>
              <w:t>6.</w:t>
            </w:r>
            <w:r>
              <w:rPr>
                <w:rFonts w:hint="eastAsia"/>
              </w:rPr>
              <w:t>展台按键采用电容式触摸按键，一键启动展台画面、画面放大、画面缩小、画面旋转、拍照截图等功能（</w:t>
            </w:r>
            <w:r>
              <w:rPr>
                <w:rFonts w:hint="eastAsia"/>
                <w:lang w:val="en-US" w:eastAsia="zh-CN"/>
              </w:rPr>
              <w:t>需</w:t>
            </w:r>
            <w:r>
              <w:rPr>
                <w:rFonts w:hint="eastAsia"/>
              </w:rPr>
              <w:t>提供</w:t>
            </w:r>
            <w:r>
              <w:rPr>
                <w:rFonts w:hint="eastAsia"/>
                <w:lang w:val="en-US" w:eastAsia="zh-CN"/>
              </w:rPr>
              <w:t>有效的</w:t>
            </w:r>
            <w:r>
              <w:rPr>
                <w:rFonts w:hint="eastAsia"/>
              </w:rPr>
              <w:t>第三方检测机构出具的检测报告复印件并加盖</w:t>
            </w:r>
            <w:r>
              <w:rPr>
                <w:rFonts w:hint="eastAsia"/>
                <w:lang w:val="en-US" w:eastAsia="zh-CN"/>
              </w:rPr>
              <w:t>供应</w:t>
            </w:r>
            <w:r>
              <w:rPr>
                <w:rFonts w:hint="eastAsia"/>
              </w:rPr>
              <w:t>商公章）。</w:t>
            </w:r>
          </w:p>
          <w:p>
            <w:pPr>
              <w:pStyle w:val="56"/>
              <w:ind w:left="0" w:leftChars="0" w:firstLine="0" w:firstLineChars="0"/>
              <w:rPr>
                <w:rFonts w:hint="eastAsia"/>
              </w:rPr>
            </w:pPr>
            <w:r>
              <w:rPr>
                <w:rFonts w:hint="eastAsia"/>
              </w:rPr>
              <w:t>#</w:t>
            </w:r>
            <w:r>
              <w:rPr>
                <w:rFonts w:hint="eastAsia"/>
                <w:lang w:val="en-US" w:eastAsia="zh-CN"/>
              </w:rPr>
              <w:t>7.</w:t>
            </w:r>
            <w:r>
              <w:rPr>
                <w:rFonts w:hint="eastAsia"/>
              </w:rPr>
              <w:t>外壳在摄像头部分带保护镜片密封，防护等级达到IP4X级别（</w:t>
            </w:r>
            <w:r>
              <w:rPr>
                <w:rFonts w:hint="eastAsia"/>
                <w:lang w:val="en-US" w:eastAsia="zh-CN"/>
              </w:rPr>
              <w:t>需</w:t>
            </w:r>
            <w:r>
              <w:rPr>
                <w:rFonts w:hint="eastAsia"/>
              </w:rPr>
              <w:t>提供</w:t>
            </w:r>
            <w:r>
              <w:rPr>
                <w:rFonts w:hint="eastAsia"/>
                <w:lang w:val="en-US" w:eastAsia="zh-CN"/>
              </w:rPr>
              <w:t>有效的</w:t>
            </w:r>
            <w:r>
              <w:rPr>
                <w:rFonts w:hint="eastAsia"/>
              </w:rPr>
              <w:t>第三方检测机构出具的检测报告复印件并加盖</w:t>
            </w:r>
            <w:r>
              <w:rPr>
                <w:rFonts w:hint="eastAsia"/>
                <w:lang w:val="en-US" w:eastAsia="zh-CN"/>
              </w:rPr>
              <w:t>供应</w:t>
            </w:r>
            <w:r>
              <w:rPr>
                <w:rFonts w:hint="eastAsia"/>
              </w:rPr>
              <w:t>商公章）。</w:t>
            </w:r>
          </w:p>
          <w:p>
            <w:pPr>
              <w:pStyle w:val="56"/>
              <w:ind w:left="0" w:leftChars="0" w:firstLine="0" w:firstLineChars="0"/>
              <w:rPr>
                <w:rFonts w:hint="eastAsia"/>
              </w:rPr>
            </w:pPr>
            <w:r>
              <w:rPr>
                <w:rFonts w:hint="eastAsia"/>
                <w:b/>
                <w:bCs/>
              </w:rPr>
              <w:t>软件部分：</w:t>
            </w:r>
          </w:p>
          <w:p>
            <w:pPr>
              <w:pStyle w:val="56"/>
              <w:ind w:left="0" w:leftChars="0" w:firstLine="0" w:firstLineChars="0"/>
              <w:rPr>
                <w:rFonts w:hint="eastAsia"/>
              </w:rPr>
            </w:pPr>
            <w:r>
              <w:rPr>
                <w:rFonts w:hint="eastAsia"/>
              </w:rPr>
              <w:t>#1</w:t>
            </w:r>
            <w:r>
              <w:rPr>
                <w:rFonts w:hint="eastAsia"/>
                <w:lang w:val="en-US" w:eastAsia="zh-CN"/>
              </w:rPr>
              <w:t>.</w:t>
            </w:r>
            <w:r>
              <w:rPr>
                <w:rFonts w:hint="eastAsia"/>
              </w:rPr>
              <w:t>支持对展台实时画面进行放大、缩小、旋转、自适应、冻结画面等操作（</w:t>
            </w:r>
            <w:r>
              <w:rPr>
                <w:rFonts w:hint="eastAsia"/>
                <w:lang w:val="en-US" w:eastAsia="zh-CN"/>
              </w:rPr>
              <w:t>需</w:t>
            </w:r>
            <w:r>
              <w:rPr>
                <w:rFonts w:hint="eastAsia"/>
              </w:rPr>
              <w:t>提供</w:t>
            </w:r>
            <w:r>
              <w:rPr>
                <w:rFonts w:hint="eastAsia"/>
                <w:lang w:val="en-US" w:eastAsia="zh-CN"/>
              </w:rPr>
              <w:t>有效的</w:t>
            </w:r>
            <w:r>
              <w:rPr>
                <w:rFonts w:hint="eastAsia"/>
              </w:rPr>
              <w:t>第三方检测机构出具的检测报告复印件并加盖</w:t>
            </w:r>
            <w:r>
              <w:rPr>
                <w:rFonts w:hint="eastAsia"/>
                <w:lang w:val="en-US" w:eastAsia="zh-CN"/>
              </w:rPr>
              <w:t>供应</w:t>
            </w:r>
            <w:r>
              <w:rPr>
                <w:rFonts w:hint="eastAsia"/>
              </w:rPr>
              <w:t>商公章）。</w:t>
            </w:r>
          </w:p>
          <w:p>
            <w:pPr>
              <w:pStyle w:val="56"/>
              <w:ind w:left="0" w:leftChars="0" w:firstLine="0" w:firstLineChars="0"/>
              <w:rPr>
                <w:rFonts w:hint="eastAsia"/>
              </w:rPr>
            </w:pPr>
            <w:r>
              <w:rPr>
                <w:rFonts w:hint="eastAsia"/>
              </w:rPr>
              <w:t>#2</w:t>
            </w:r>
            <w:r>
              <w:rPr>
                <w:rFonts w:hint="eastAsia"/>
                <w:lang w:val="en-US" w:eastAsia="zh-CN"/>
              </w:rPr>
              <w:t>.</w:t>
            </w:r>
            <w:r>
              <w:rPr>
                <w:rFonts w:hint="eastAsia"/>
              </w:rPr>
              <w:t>支持展台画面实时批注，预设多种笔划粗细及颜色供选择，且支持对展台画面联同批注内容进行同步缩放、移动（</w:t>
            </w:r>
            <w:r>
              <w:rPr>
                <w:rFonts w:hint="eastAsia"/>
                <w:lang w:val="en-US" w:eastAsia="zh-CN"/>
              </w:rPr>
              <w:t>需</w:t>
            </w:r>
            <w:r>
              <w:rPr>
                <w:rFonts w:hint="eastAsia"/>
              </w:rPr>
              <w:t>提供</w:t>
            </w:r>
            <w:r>
              <w:rPr>
                <w:rFonts w:hint="eastAsia"/>
                <w:lang w:val="en-US" w:eastAsia="zh-CN"/>
              </w:rPr>
              <w:t>有效的</w:t>
            </w:r>
            <w:r>
              <w:rPr>
                <w:rFonts w:hint="eastAsia"/>
              </w:rPr>
              <w:t>第三方检测机构出具的检测报告复印件并加盖</w:t>
            </w:r>
            <w:r>
              <w:rPr>
                <w:rFonts w:hint="eastAsia"/>
                <w:lang w:val="en-US" w:eastAsia="zh-CN"/>
              </w:rPr>
              <w:t>供应</w:t>
            </w:r>
            <w:r>
              <w:rPr>
                <w:rFonts w:hint="eastAsia"/>
              </w:rPr>
              <w:t>商公章）。</w:t>
            </w:r>
          </w:p>
          <w:p>
            <w:pPr>
              <w:pStyle w:val="56"/>
              <w:ind w:left="0" w:leftChars="0" w:firstLine="0" w:firstLineChars="0"/>
              <w:rPr>
                <w:rFonts w:hint="eastAsia"/>
              </w:rPr>
            </w:pPr>
            <w:r>
              <w:rPr>
                <w:rFonts w:hint="eastAsia"/>
              </w:rPr>
              <w:t>#3</w:t>
            </w:r>
            <w:r>
              <w:rPr>
                <w:rFonts w:hint="eastAsia"/>
                <w:lang w:val="en-US" w:eastAsia="zh-CN"/>
              </w:rPr>
              <w:t>.</w:t>
            </w:r>
            <w:r>
              <w:rPr>
                <w:rFonts w:hint="eastAsia"/>
              </w:rPr>
              <w:t>支持展台画面拍照截图并进行多图预览，可对任一图片进行全屏显示（</w:t>
            </w:r>
            <w:r>
              <w:rPr>
                <w:rFonts w:hint="eastAsia"/>
                <w:lang w:val="en-US" w:eastAsia="zh-CN"/>
              </w:rPr>
              <w:t>需</w:t>
            </w:r>
            <w:r>
              <w:rPr>
                <w:rFonts w:hint="eastAsia"/>
              </w:rPr>
              <w:t>提供</w:t>
            </w:r>
            <w:r>
              <w:rPr>
                <w:rFonts w:hint="eastAsia"/>
                <w:lang w:val="en-US" w:eastAsia="zh-CN"/>
              </w:rPr>
              <w:t>有效的</w:t>
            </w:r>
            <w:r>
              <w:rPr>
                <w:rFonts w:hint="eastAsia"/>
              </w:rPr>
              <w:t>第三方检测机构出具的检测报告复印件并加盖</w:t>
            </w:r>
            <w:r>
              <w:rPr>
                <w:rFonts w:hint="eastAsia"/>
                <w:lang w:val="en-US" w:eastAsia="zh-CN"/>
              </w:rPr>
              <w:t>供应</w:t>
            </w:r>
            <w:r>
              <w:rPr>
                <w:rFonts w:hint="eastAsia"/>
              </w:rPr>
              <w:t>商公章）。</w:t>
            </w:r>
          </w:p>
          <w:p>
            <w:pPr>
              <w:pStyle w:val="56"/>
              <w:ind w:left="0" w:leftChars="0" w:firstLine="0" w:firstLineChars="0"/>
              <w:rPr>
                <w:rFonts w:hint="eastAsia"/>
              </w:rPr>
            </w:pPr>
            <w:r>
              <w:rPr>
                <w:rFonts w:hint="eastAsia"/>
              </w:rPr>
              <w:t>#4</w:t>
            </w:r>
            <w:r>
              <w:rPr>
                <w:rFonts w:hint="eastAsia"/>
                <w:lang w:val="en-US" w:eastAsia="zh-CN"/>
              </w:rPr>
              <w:t>.</w:t>
            </w:r>
            <w:r>
              <w:rPr>
                <w:rFonts w:hint="eastAsia"/>
              </w:rPr>
              <w:t>老师可在一体机或电脑上选择延时拍照功能，支持5秒或10秒延时模式，预留充足时间调整拍摄内容（</w:t>
            </w:r>
            <w:r>
              <w:rPr>
                <w:rFonts w:hint="eastAsia"/>
                <w:lang w:val="en-US" w:eastAsia="zh-CN"/>
              </w:rPr>
              <w:t>需</w:t>
            </w:r>
            <w:r>
              <w:rPr>
                <w:rFonts w:hint="eastAsia"/>
              </w:rPr>
              <w:t>提供</w:t>
            </w:r>
            <w:r>
              <w:rPr>
                <w:rFonts w:hint="eastAsia"/>
                <w:lang w:val="en-US" w:eastAsia="zh-CN"/>
              </w:rPr>
              <w:t>有效的</w:t>
            </w:r>
            <w:r>
              <w:rPr>
                <w:rFonts w:hint="eastAsia"/>
              </w:rPr>
              <w:t>第三方检测机构出具的检测报告复印件并加盖</w:t>
            </w:r>
            <w:r>
              <w:rPr>
                <w:rFonts w:hint="eastAsia"/>
                <w:lang w:val="en-US" w:eastAsia="zh-CN"/>
              </w:rPr>
              <w:t>供应</w:t>
            </w:r>
            <w:r>
              <w:rPr>
                <w:rFonts w:hint="eastAsia"/>
              </w:rPr>
              <w:t>商公章）。</w:t>
            </w:r>
          </w:p>
          <w:p>
            <w:pPr>
              <w:pStyle w:val="56"/>
              <w:ind w:left="0" w:leftChars="0" w:firstLine="0" w:firstLineChars="0"/>
            </w:pPr>
            <w:r>
              <w:rPr>
                <w:rFonts w:hint="eastAsia"/>
              </w:rPr>
              <w:t>#5</w:t>
            </w:r>
            <w:r>
              <w:rPr>
                <w:rFonts w:hint="eastAsia"/>
                <w:lang w:val="en-US" w:eastAsia="zh-CN"/>
              </w:rPr>
              <w:t>.</w:t>
            </w:r>
            <w:r>
              <w:rPr>
                <w:rFonts w:hint="eastAsia"/>
              </w:rPr>
              <w:t>支持故障自动检测，在软件无法出现展台拍摄画面时，自动出现检测链接，检测“无画面”的原因，并给出引导性解决方案。可判断硬件连接、显卡驱动、摄像头占用、软件版本等问题（</w:t>
            </w:r>
            <w:r>
              <w:rPr>
                <w:rFonts w:hint="eastAsia"/>
                <w:lang w:val="en-US" w:eastAsia="zh-CN"/>
              </w:rPr>
              <w:t>需</w:t>
            </w:r>
            <w:r>
              <w:rPr>
                <w:rFonts w:hint="eastAsia"/>
              </w:rPr>
              <w:t>提供</w:t>
            </w:r>
            <w:r>
              <w:rPr>
                <w:rFonts w:hint="eastAsia"/>
                <w:lang w:val="en-US" w:eastAsia="zh-CN"/>
              </w:rPr>
              <w:t>有效的</w:t>
            </w:r>
            <w:r>
              <w:rPr>
                <w:rFonts w:hint="eastAsia"/>
              </w:rPr>
              <w:t>第三方检测机构出具的检测报告复印件并加盖</w:t>
            </w:r>
            <w:r>
              <w:rPr>
                <w:rFonts w:hint="eastAsia"/>
                <w:lang w:val="en-US" w:eastAsia="zh-CN"/>
              </w:rPr>
              <w:t>供应</w:t>
            </w:r>
            <w:r>
              <w:rPr>
                <w:rFonts w:hint="eastAsia"/>
              </w:rPr>
              <w:t>商公章）。</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11 </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音箱    </w:t>
            </w:r>
          </w:p>
        </w:tc>
        <w:tc>
          <w:tcPr>
            <w:tcW w:w="6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1.有源音箱；输入方式：电脑、DVD、卡座线路输入，二路有线MIC输入口；高低音独立调节，混响及话筒音量独立调节；</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2.输出功率：15+15W；输入阻抗：4欧姆；灵敏度：450mV；失真度：≤1%；最大声压：113db；频率响应：20HZ-20KHZ；电源：AC 220V~50Hz；</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对</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11 </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系统集成</w:t>
            </w:r>
          </w:p>
        </w:tc>
        <w:tc>
          <w:tcPr>
            <w:tcW w:w="6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Cs w:val="21"/>
              </w:rPr>
            </w:pPr>
            <w:r>
              <w:rPr>
                <w:rStyle w:val="277"/>
                <w:rFonts w:hint="default"/>
                <w:sz w:val="21"/>
                <w:szCs w:val="21"/>
                <w:lang w:bidi="ar"/>
              </w:rPr>
              <w:t>根据现场情况，整体设备需有单独供电及保护装置，安装于多媒体讲台之外且安全规范的位置。各类线缆</w:t>
            </w:r>
            <w:r>
              <w:rPr>
                <w:rStyle w:val="277"/>
                <w:sz w:val="21"/>
                <w:szCs w:val="21"/>
                <w:lang w:bidi="ar"/>
              </w:rPr>
              <w:t>符合</w:t>
            </w:r>
            <w:r>
              <w:rPr>
                <w:rStyle w:val="277"/>
                <w:rFonts w:hint="default"/>
                <w:sz w:val="21"/>
                <w:szCs w:val="21"/>
                <w:lang w:bidi="ar"/>
              </w:rPr>
              <w:t>国标标准。布线</w:t>
            </w:r>
            <w:r>
              <w:rPr>
                <w:rStyle w:val="277"/>
                <w:sz w:val="21"/>
                <w:szCs w:val="21"/>
                <w:lang w:bidi="ar"/>
              </w:rPr>
              <w:t>需</w:t>
            </w:r>
            <w:r>
              <w:rPr>
                <w:rStyle w:val="277"/>
                <w:rFonts w:hint="default"/>
                <w:sz w:val="21"/>
                <w:szCs w:val="21"/>
                <w:lang w:bidi="ar"/>
              </w:rPr>
              <w:t>简洁、平整，衔接处有线槽配件连接；音箱至于教室前端,左右对称；黑板安装高度符合国家相关标准；多媒体讲台上沿水平线不能超出黑板下沿水平线；</w:t>
            </w:r>
            <w:r>
              <w:rPr>
                <w:rStyle w:val="277"/>
                <w:rFonts w:hint="default"/>
                <w:sz w:val="21"/>
                <w:szCs w:val="21"/>
                <w:lang w:bidi="ar"/>
              </w:rPr>
              <w:br w:type="textWrapping"/>
            </w:r>
            <w:r>
              <w:rPr>
                <w:rStyle w:val="274"/>
                <w:rFonts w:hint="default"/>
                <w:sz w:val="21"/>
                <w:szCs w:val="21"/>
                <w:lang w:bidi="ar"/>
              </w:rPr>
              <w:t>线材保修：≥3年。</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11 </w:t>
            </w:r>
          </w:p>
        </w:tc>
      </w:tr>
      <w:tr>
        <w:tblPrEx>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宋体" w:hAnsi="宋体" w:cs="宋体"/>
                <w:color w:val="000000"/>
                <w:szCs w:val="21"/>
              </w:rPr>
            </w:pPr>
            <w:r>
              <w:rPr>
                <w:rFonts w:hint="eastAsia" w:ascii="宋体" w:hAnsi="宋体" w:cs="宋体"/>
                <w:b/>
                <w:bCs/>
                <w:color w:val="000000"/>
                <w:kern w:val="0"/>
                <w:szCs w:val="21"/>
                <w:lang w:bidi="ar"/>
              </w:rPr>
              <w:t>三、仪器（所投产品需符合现行国家、行业等标准和规范）</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三角板</w:t>
            </w:r>
          </w:p>
        </w:tc>
        <w:tc>
          <w:tcPr>
            <w:tcW w:w="6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演示用，60°、45°各一</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圆规</w:t>
            </w:r>
          </w:p>
        </w:tc>
        <w:tc>
          <w:tcPr>
            <w:tcW w:w="6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符合新配标标准</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量角器</w:t>
            </w:r>
          </w:p>
        </w:tc>
        <w:tc>
          <w:tcPr>
            <w:tcW w:w="6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规格:演示用，0°～180°</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bl>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注：1、“★”为实质性条款，不满足的将被视为无效响应予以拒绝。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2、</w:t>
      </w:r>
      <w:r>
        <w:rPr>
          <w:rFonts w:hint="eastAsia"/>
        </w:rPr>
        <w:t>技术参数中所涉品牌、型号、专用技术等为描述所需，不具备强制性，要求所投产品至少满足该配置档次要求，并须确保整体系统兼容性。</w:t>
      </w:r>
    </w:p>
    <w:p>
      <w:pPr>
        <w:pStyle w:val="5"/>
      </w:pPr>
    </w:p>
    <w:p>
      <w:pPr>
        <w:rPr>
          <w:b/>
          <w:sz w:val="24"/>
        </w:rPr>
      </w:pPr>
      <w:r>
        <w:rPr>
          <w:rFonts w:hint="eastAsia"/>
          <w:b/>
          <w:sz w:val="24"/>
        </w:rPr>
        <w:t>三、商务要求</w:t>
      </w:r>
    </w:p>
    <w:p>
      <w:pPr>
        <w:pStyle w:val="34"/>
        <w:spacing w:line="360" w:lineRule="auto"/>
        <w:ind w:left="0"/>
        <w:rPr>
          <w:sz w:val="24"/>
          <w:szCs w:val="24"/>
        </w:rPr>
      </w:pPr>
      <w:r>
        <w:rPr>
          <w:sz w:val="24"/>
          <w:szCs w:val="24"/>
        </w:rPr>
        <w:t>1、交货时间：自合同签订生效之日起1</w:t>
      </w:r>
      <w:r>
        <w:rPr>
          <w:rFonts w:hint="eastAsia"/>
          <w:sz w:val="24"/>
          <w:szCs w:val="24"/>
          <w:lang w:val="en-US" w:eastAsia="zh-CN"/>
        </w:rPr>
        <w:t>0</w:t>
      </w:r>
      <w:r>
        <w:rPr>
          <w:sz w:val="24"/>
          <w:szCs w:val="24"/>
        </w:rPr>
        <w:t>个日历日内完成供货、安装、联合调试。</w:t>
      </w:r>
    </w:p>
    <w:p>
      <w:pPr>
        <w:pStyle w:val="34"/>
        <w:spacing w:line="360" w:lineRule="auto"/>
        <w:ind w:left="0"/>
        <w:rPr>
          <w:sz w:val="24"/>
          <w:szCs w:val="24"/>
        </w:rPr>
      </w:pPr>
      <w:r>
        <w:rPr>
          <w:sz w:val="24"/>
          <w:szCs w:val="24"/>
        </w:rPr>
        <w:t>2、交货、安装及验收地点：用户指定地点。</w:t>
      </w:r>
    </w:p>
    <w:p>
      <w:pPr>
        <w:pStyle w:val="34"/>
        <w:spacing w:line="360" w:lineRule="auto"/>
        <w:ind w:left="0"/>
      </w:pPr>
      <w:r>
        <w:rPr>
          <w:sz w:val="24"/>
          <w:szCs w:val="24"/>
        </w:rPr>
        <w:t>3、付款要求：合同签订生效后，采购人支付给供应商合同总价的50%作为预付款；全部货物送达采购人指定地点并完成安装调试，且项目整体验收合格后，支付合同总价50%的余款。</w:t>
      </w:r>
    </w:p>
    <w:p>
      <w:pPr>
        <w:keepNext/>
        <w:keepLines/>
        <w:adjustRightInd w:val="0"/>
        <w:spacing w:line="360" w:lineRule="auto"/>
        <w:textAlignment w:val="baseline"/>
        <w:rPr>
          <w:sz w:val="24"/>
        </w:rPr>
      </w:pPr>
      <w:r>
        <w:rPr>
          <w:rFonts w:hint="eastAsia"/>
          <w:sz w:val="24"/>
        </w:rPr>
        <w:t>4、安装调试服务</w:t>
      </w:r>
    </w:p>
    <w:p>
      <w:pPr>
        <w:spacing w:line="360" w:lineRule="auto"/>
        <w:ind w:firstLine="480" w:firstLineChars="200"/>
        <w:rPr>
          <w:sz w:val="24"/>
        </w:rPr>
      </w:pPr>
      <w:r>
        <w:rPr>
          <w:rFonts w:hint="eastAsia"/>
          <w:sz w:val="24"/>
        </w:rPr>
        <w:t>供应商需完成本次项目所有设备的安装调试工作，达到整个系统稳定运行的要求。本项目采购清单中的线材、辅料等</w:t>
      </w:r>
      <w:r>
        <w:rPr>
          <w:rFonts w:hint="eastAsia" w:ascii="宋体" w:hAnsi="宋体" w:cs="宋体"/>
          <w:sz w:val="24"/>
        </w:rPr>
        <w:t>数量仅做估值参考，具体用量以实际发生为准，费用需包含在本项目报价中，采购人不再支付除合同价款外的任何费用。</w:t>
      </w:r>
    </w:p>
    <w:p>
      <w:pPr>
        <w:keepNext/>
        <w:keepLines/>
        <w:adjustRightInd w:val="0"/>
        <w:spacing w:line="360" w:lineRule="auto"/>
        <w:textAlignment w:val="baseline"/>
        <w:rPr>
          <w:sz w:val="24"/>
        </w:rPr>
      </w:pPr>
      <w:r>
        <w:rPr>
          <w:rFonts w:hint="eastAsia"/>
          <w:sz w:val="24"/>
        </w:rPr>
        <w:t>5、施工及售后技术服务</w:t>
      </w:r>
    </w:p>
    <w:p>
      <w:pPr>
        <w:spacing w:line="360" w:lineRule="auto"/>
        <w:ind w:firstLine="360" w:firstLineChars="150"/>
        <w:rPr>
          <w:sz w:val="24"/>
        </w:rPr>
      </w:pPr>
      <w:r>
        <w:rPr>
          <w:rFonts w:hint="eastAsia"/>
          <w:sz w:val="24"/>
        </w:rPr>
        <w:t>1）供应商需提供详细的项目供货实施方案，安装进度保证措施及人员配备方案、售后服务承诺及详细方案、培训方案、</w:t>
      </w:r>
      <w:r>
        <w:rPr>
          <w:rFonts w:hint="eastAsia" w:ascii="宋体" w:hAnsi="宋体" w:cs="宋体"/>
          <w:sz w:val="24"/>
          <w:szCs w:val="21"/>
        </w:rPr>
        <w:t>应急保障（含疫情防控管理）措施方案等，保证本项目如期顺利进行</w:t>
      </w:r>
      <w:r>
        <w:rPr>
          <w:rFonts w:hint="eastAsia"/>
          <w:sz w:val="24"/>
        </w:rPr>
        <w:t>。</w:t>
      </w:r>
    </w:p>
    <w:p>
      <w:pPr>
        <w:spacing w:line="360" w:lineRule="auto"/>
        <w:ind w:firstLine="360" w:firstLineChars="150"/>
        <w:rPr>
          <w:sz w:val="24"/>
        </w:rPr>
      </w:pPr>
      <w:r>
        <w:rPr>
          <w:rFonts w:hint="eastAsia"/>
          <w:sz w:val="24"/>
        </w:rPr>
        <w:t>2）从项目开始起，供应商需允许采购人的工作人员参与有关设备的安装、调试、解决问题等各项工作，真正做到技术交底。</w:t>
      </w:r>
    </w:p>
    <w:p>
      <w:pPr>
        <w:spacing w:line="360" w:lineRule="auto"/>
        <w:ind w:firstLine="360" w:firstLineChars="150"/>
        <w:rPr>
          <w:sz w:val="24"/>
        </w:rPr>
      </w:pPr>
      <w:r>
        <w:rPr>
          <w:rFonts w:hint="eastAsia"/>
          <w:sz w:val="24"/>
        </w:rPr>
        <w:t>3）供应商需在项目完成时将全部相关技术资料、设备参数配置资料、测试记录、运行操作手册、维护手册、验收报告等文档汇集成册交付给采购人。</w:t>
      </w:r>
    </w:p>
    <w:p>
      <w:pPr>
        <w:pStyle w:val="34"/>
        <w:ind w:left="0" w:firstLine="480" w:firstLineChars="200"/>
      </w:pPr>
      <w:r>
        <w:rPr>
          <w:rFonts w:hint="eastAsia" w:ascii="宋体" w:hAnsi="宋体" w:cs="宋体"/>
          <w:sz w:val="24"/>
          <w:szCs w:val="21"/>
        </w:rPr>
        <w:t>4）供应商需提供免费的软件升级和技术支持服务。</w:t>
      </w:r>
    </w:p>
    <w:p>
      <w:pPr>
        <w:keepNext/>
        <w:keepLines/>
        <w:adjustRightInd w:val="0"/>
        <w:spacing w:line="360" w:lineRule="auto"/>
        <w:textAlignment w:val="baseline"/>
        <w:rPr>
          <w:sz w:val="24"/>
        </w:rPr>
      </w:pPr>
      <w:r>
        <w:rPr>
          <w:rFonts w:hint="eastAsia"/>
          <w:sz w:val="24"/>
        </w:rPr>
        <w:t>6、验收标准及程序</w:t>
      </w:r>
    </w:p>
    <w:p>
      <w:pPr>
        <w:spacing w:line="360" w:lineRule="auto"/>
        <w:ind w:firstLine="600" w:firstLineChars="250"/>
        <w:rPr>
          <w:rFonts w:ascii="宋体" w:hAnsi="宋体" w:cs="宋体"/>
          <w:sz w:val="24"/>
          <w:szCs w:val="21"/>
        </w:rPr>
      </w:pPr>
      <w:r>
        <w:rPr>
          <w:rFonts w:hint="eastAsia"/>
          <w:sz w:val="24"/>
        </w:rPr>
        <w:t>1）采购人在验收时将按照约定的验收标准、要求和程序对每一项技术、服务、安全标准的履约情况进行确认并出具总体评价。如磋商文件没有特殊要求，则验收时以供应商的响应文件及磋商文件的要求作为验收标准及依据，</w:t>
      </w:r>
      <w:r>
        <w:rPr>
          <w:rFonts w:hint="eastAsia" w:ascii="宋体" w:hAnsi="宋体" w:cs="宋体"/>
          <w:sz w:val="24"/>
          <w:szCs w:val="21"/>
        </w:rPr>
        <w:t>所提供的响应指标应不低于或优于上述所列的验收标准</w:t>
      </w:r>
      <w:r>
        <w:rPr>
          <w:rFonts w:hint="eastAsia"/>
          <w:sz w:val="24"/>
        </w:rPr>
        <w:t>。</w:t>
      </w:r>
      <w:r>
        <w:rPr>
          <w:rFonts w:hint="eastAsia" w:ascii="宋体" w:hAnsi="宋体" w:cs="宋体"/>
          <w:sz w:val="24"/>
          <w:szCs w:val="21"/>
        </w:rPr>
        <w:t>如验收时发现供应商存在提供虚假指标响应情况，采购人有权取消合同并依法追究供应商的违约责任，供应商需承担由此给采购人带来的一切经济损失。</w:t>
      </w:r>
    </w:p>
    <w:p>
      <w:pPr>
        <w:spacing w:line="360" w:lineRule="auto"/>
        <w:ind w:firstLine="360" w:firstLineChars="150"/>
        <w:rPr>
          <w:sz w:val="24"/>
        </w:rPr>
      </w:pPr>
      <w:r>
        <w:rPr>
          <w:rFonts w:hint="eastAsia" w:ascii="宋体" w:hAnsi="宋体" w:cs="宋体"/>
          <w:sz w:val="24"/>
          <w:szCs w:val="21"/>
        </w:rPr>
        <w:t>2）验收程序/要求：按照采购人验收流程要求进行验收。</w:t>
      </w:r>
    </w:p>
    <w:p>
      <w:pPr>
        <w:spacing w:line="360" w:lineRule="auto"/>
        <w:ind w:firstLine="360" w:firstLineChars="150"/>
        <w:rPr>
          <w:sz w:val="24"/>
        </w:rPr>
      </w:pPr>
      <w:r>
        <w:rPr>
          <w:rFonts w:hint="eastAsia"/>
          <w:sz w:val="24"/>
        </w:rPr>
        <w:t>采购人可以邀请参加本项目的其他供应商或者第三方机构或相关行业专家参与验收。参与验收的其他供应商或者第三方机构或相关行业专家的意见作为验收书的参考资料一并存档。</w:t>
      </w:r>
    </w:p>
    <w:p>
      <w:pPr>
        <w:keepNext/>
        <w:keepLines/>
        <w:adjustRightInd w:val="0"/>
        <w:spacing w:line="360" w:lineRule="auto"/>
        <w:textAlignment w:val="baseline"/>
        <w:rPr>
          <w:sz w:val="24"/>
        </w:rPr>
      </w:pPr>
      <w:r>
        <w:rPr>
          <w:rFonts w:hint="eastAsia"/>
          <w:sz w:val="24"/>
        </w:rPr>
        <w:t>7、售后服务要求</w:t>
      </w:r>
    </w:p>
    <w:p>
      <w:pPr>
        <w:snapToGrid w:val="0"/>
        <w:spacing w:line="360" w:lineRule="auto"/>
        <w:ind w:firstLine="360" w:firstLineChars="150"/>
        <w:rPr>
          <w:sz w:val="24"/>
        </w:rPr>
      </w:pPr>
      <w:r>
        <w:rPr>
          <w:rFonts w:hint="eastAsia"/>
          <w:sz w:val="24"/>
        </w:rPr>
        <w:t>1）所有设备的质保期自本项目验收合格之日起≥三年；</w:t>
      </w:r>
    </w:p>
    <w:p>
      <w:pPr>
        <w:snapToGrid w:val="0"/>
        <w:spacing w:line="360" w:lineRule="auto"/>
        <w:ind w:firstLine="360" w:firstLineChars="150"/>
        <w:rPr>
          <w:sz w:val="24"/>
        </w:rPr>
      </w:pPr>
      <w:r>
        <w:rPr>
          <w:rFonts w:hint="eastAsia"/>
          <w:sz w:val="24"/>
        </w:rPr>
        <w:t>2）</w:t>
      </w:r>
      <w:r>
        <w:rPr>
          <w:rFonts w:hint="eastAsia" w:ascii="宋体" w:hAnsi="宋体" w:cs="宋体"/>
          <w:sz w:val="24"/>
          <w:szCs w:val="21"/>
        </w:rPr>
        <w:t>供应商需向采购人提供长期的技术支持，有专门的7×12小时热线服务，包括：电话、在线客服、QQ、E-mail等形式，可随时记录及解答用户提出的问题，及时反馈信息；供应商在接到采购人系统设备发生故障的通知后，4小时内赶到现场，并向采购人提供故障解决方案，在24小时内解决问题，如需返厂维修，需提供样机以保障项目顺利进行；</w:t>
      </w:r>
    </w:p>
    <w:p>
      <w:pPr>
        <w:snapToGrid w:val="0"/>
        <w:spacing w:line="360" w:lineRule="auto"/>
        <w:ind w:firstLine="360" w:firstLineChars="150"/>
        <w:rPr>
          <w:sz w:val="24"/>
        </w:rPr>
      </w:pPr>
      <w:r>
        <w:rPr>
          <w:rFonts w:hint="eastAsia"/>
          <w:sz w:val="24"/>
        </w:rPr>
        <w:t>3）质保期内，供应商需免费上门服务、免费维修，免费更换设备，设备更换需在三天之内完成</w:t>
      </w:r>
      <w:r>
        <w:rPr>
          <w:rFonts w:hint="eastAsia" w:ascii="宋体" w:hAnsi="宋体" w:cs="宋体"/>
          <w:sz w:val="24"/>
          <w:szCs w:val="21"/>
        </w:rPr>
        <w:t>，供应商需自备安装调试及维修工具</w:t>
      </w:r>
      <w:r>
        <w:rPr>
          <w:rFonts w:hint="eastAsia"/>
          <w:sz w:val="24"/>
        </w:rPr>
        <w:t>。</w:t>
      </w:r>
    </w:p>
    <w:p>
      <w:pPr>
        <w:snapToGrid w:val="0"/>
        <w:spacing w:line="360" w:lineRule="auto"/>
        <w:ind w:firstLine="360" w:firstLineChars="150"/>
        <w:rPr>
          <w:rFonts w:hint="eastAsia"/>
          <w:sz w:val="24"/>
        </w:rPr>
      </w:pPr>
      <w:r>
        <w:rPr>
          <w:rFonts w:hint="eastAsia"/>
          <w:sz w:val="24"/>
        </w:rPr>
        <w:t>4）在质保期内，供应商需免费对产品进行全面的维护保养（每一年半一次）。</w:t>
      </w:r>
    </w:p>
    <w:p>
      <w:pPr>
        <w:snapToGrid w:val="0"/>
        <w:spacing w:line="360" w:lineRule="auto"/>
        <w:ind w:firstLine="360" w:firstLineChars="150"/>
      </w:pPr>
      <w:r>
        <w:rPr>
          <w:rFonts w:hint="eastAsia"/>
          <w:sz w:val="24"/>
        </w:rPr>
        <w:t>5）当设备故障时，供应商需满足采购人对设备备品备件的替换需求，并保障配件的供应。</w:t>
      </w:r>
    </w:p>
    <w:p>
      <w:pPr>
        <w:spacing w:line="360" w:lineRule="auto"/>
        <w:jc w:val="left"/>
        <w:rPr>
          <w:rFonts w:ascii="宋体" w:hAnsi="宋体" w:cs="宋体"/>
          <w:sz w:val="24"/>
          <w:szCs w:val="21"/>
        </w:rPr>
      </w:pPr>
      <w:r>
        <w:rPr>
          <w:rFonts w:hint="eastAsia" w:ascii="宋体" w:hAnsi="宋体" w:cs="宋体"/>
          <w:sz w:val="24"/>
          <w:szCs w:val="21"/>
        </w:rPr>
        <w:t>8、培训要求：</w:t>
      </w:r>
    </w:p>
    <w:p>
      <w:pPr>
        <w:spacing w:line="360" w:lineRule="auto"/>
        <w:ind w:firstLine="240" w:firstLineChars="100"/>
        <w:jc w:val="left"/>
        <w:rPr>
          <w:rFonts w:ascii="宋体" w:hAnsi="宋体" w:cs="宋体"/>
          <w:sz w:val="24"/>
          <w:szCs w:val="21"/>
        </w:rPr>
      </w:pPr>
      <w:r>
        <w:rPr>
          <w:rFonts w:hint="eastAsia" w:ascii="宋体" w:hAnsi="宋体" w:cs="宋体"/>
          <w:sz w:val="24"/>
          <w:szCs w:val="21"/>
        </w:rPr>
        <w:t xml:space="preserve"> 1）设备安装调试完成后，供应商需派技术人员对采购人的使用人员进行≥3天的培训，需免费提供操作手册、技术资料、培训课程或视频等参考资料。培训时间、地点、规模由采购人制定，供应商提前与采购人沟通后，可分期进行培训，场地、交通等与培训相关的费用均由投标人承担。</w:t>
      </w:r>
    </w:p>
    <w:p>
      <w:pPr>
        <w:spacing w:line="360" w:lineRule="auto"/>
        <w:ind w:firstLine="480" w:firstLineChars="200"/>
        <w:jc w:val="left"/>
        <w:rPr>
          <w:rFonts w:ascii="宋体" w:hAnsi="宋体" w:cs="宋体"/>
          <w:sz w:val="24"/>
          <w:szCs w:val="21"/>
        </w:rPr>
      </w:pPr>
      <w:r>
        <w:rPr>
          <w:rFonts w:hint="eastAsia" w:ascii="宋体" w:hAnsi="宋体" w:cs="宋体"/>
          <w:sz w:val="24"/>
          <w:szCs w:val="21"/>
        </w:rPr>
        <w:t>2）通过培训后，供应商需保证使用人员均能够熟练使用且可以独立完成全部流程操作。</w:t>
      </w:r>
    </w:p>
    <w:p>
      <w:r>
        <w:rPr>
          <w:rFonts w:hint="eastAsia"/>
        </w:rPr>
        <w:br w:type="page"/>
      </w:r>
    </w:p>
    <w:p>
      <w:pPr>
        <w:jc w:val="center"/>
        <w:outlineLvl w:val="1"/>
      </w:pPr>
      <w:r>
        <w:rPr>
          <w:rFonts w:hint="eastAsia"/>
          <w:b/>
          <w:bCs/>
          <w:sz w:val="32"/>
          <w:szCs w:val="32"/>
        </w:rPr>
        <w:t>02包 专用教室</w:t>
      </w:r>
    </w:p>
    <w:p>
      <w:pPr>
        <w:pStyle w:val="99"/>
        <w:spacing w:line="360" w:lineRule="auto"/>
        <w:ind w:left="420" w:leftChars="200" w:firstLine="0" w:firstLineChars="0"/>
        <w:contextualSpacing/>
        <w:rPr>
          <w:rFonts w:ascii="Times New Roman" w:hAnsi="Times New Roman"/>
          <w:b/>
          <w:sz w:val="24"/>
          <w:szCs w:val="24"/>
        </w:rPr>
      </w:pPr>
      <w:r>
        <w:rPr>
          <w:rFonts w:hint="eastAsia" w:ascii="Times New Roman" w:hAnsi="Times New Roman"/>
          <w:b/>
          <w:sz w:val="24"/>
          <w:szCs w:val="24"/>
        </w:rPr>
        <w:t>一、采购标的</w:t>
      </w:r>
    </w:p>
    <w:tbl>
      <w:tblPr>
        <w:tblStyle w:val="45"/>
        <w:tblW w:w="0" w:type="auto"/>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27"/>
        <w:gridCol w:w="3838"/>
        <w:gridCol w:w="1120"/>
        <w:gridCol w:w="1360"/>
        <w:gridCol w:w="152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0" w:type="auto"/>
            <w:tcMar>
              <w:top w:w="0" w:type="dxa"/>
              <w:left w:w="105" w:type="dxa"/>
              <w:bottom w:w="0" w:type="dxa"/>
              <w:right w:w="105" w:type="dxa"/>
            </w:tcMar>
            <w:vAlign w:val="center"/>
          </w:tcPr>
          <w:p>
            <w:pPr>
              <w:rPr>
                <w:rFonts w:ascii="宋体" w:hAnsi="宋体" w:cs="宋体"/>
                <w:b/>
                <w:szCs w:val="21"/>
              </w:rPr>
            </w:pPr>
            <w:r>
              <w:rPr>
                <w:rFonts w:hint="eastAsia" w:ascii="宋体" w:hAnsi="宋体" w:cs="宋体"/>
                <w:b/>
                <w:szCs w:val="21"/>
              </w:rPr>
              <w:t>包号</w:t>
            </w:r>
          </w:p>
        </w:tc>
        <w:tc>
          <w:tcPr>
            <w:tcW w:w="3838" w:type="dxa"/>
            <w:tcMar>
              <w:top w:w="0" w:type="dxa"/>
              <w:left w:w="105" w:type="dxa"/>
              <w:bottom w:w="0" w:type="dxa"/>
              <w:right w:w="105" w:type="dxa"/>
            </w:tcMar>
            <w:vAlign w:val="center"/>
          </w:tcPr>
          <w:p>
            <w:pPr>
              <w:jc w:val="center"/>
              <w:rPr>
                <w:rFonts w:ascii="宋体" w:hAnsi="宋体" w:cs="宋体"/>
                <w:b/>
                <w:szCs w:val="21"/>
              </w:rPr>
            </w:pPr>
            <w:r>
              <w:rPr>
                <w:rFonts w:hint="eastAsia" w:ascii="宋体" w:hAnsi="宋体" w:cs="宋体"/>
                <w:b/>
                <w:szCs w:val="21"/>
              </w:rPr>
              <w:t>标的名称</w:t>
            </w:r>
          </w:p>
        </w:tc>
        <w:tc>
          <w:tcPr>
            <w:tcW w:w="1120" w:type="dxa"/>
            <w:vAlign w:val="center"/>
          </w:tcPr>
          <w:p>
            <w:pPr>
              <w:jc w:val="center"/>
              <w:rPr>
                <w:rFonts w:ascii="宋体" w:hAnsi="宋体" w:cs="宋体"/>
                <w:b/>
                <w:szCs w:val="21"/>
              </w:rPr>
            </w:pPr>
            <w:r>
              <w:rPr>
                <w:rFonts w:hint="eastAsia" w:ascii="宋体" w:hAnsi="宋体" w:cs="宋体"/>
                <w:b/>
                <w:szCs w:val="21"/>
              </w:rPr>
              <w:t>数量</w:t>
            </w:r>
          </w:p>
        </w:tc>
        <w:tc>
          <w:tcPr>
            <w:tcW w:w="1360" w:type="dxa"/>
            <w:vAlign w:val="center"/>
          </w:tcPr>
          <w:p>
            <w:pPr>
              <w:jc w:val="center"/>
              <w:rPr>
                <w:rFonts w:ascii="宋体" w:hAnsi="宋体" w:cs="宋体"/>
                <w:b/>
                <w:szCs w:val="21"/>
              </w:rPr>
            </w:pPr>
            <w:r>
              <w:rPr>
                <w:rFonts w:hint="eastAsia" w:ascii="宋体" w:hAnsi="宋体" w:cs="宋体"/>
                <w:b/>
                <w:szCs w:val="21"/>
              </w:rPr>
              <w:t>采购包预算金额</w:t>
            </w:r>
          </w:p>
          <w:p>
            <w:pPr>
              <w:jc w:val="center"/>
              <w:rPr>
                <w:rFonts w:ascii="宋体" w:hAnsi="宋体" w:cs="宋体"/>
                <w:b/>
                <w:szCs w:val="21"/>
              </w:rPr>
            </w:pPr>
            <w:r>
              <w:rPr>
                <w:rFonts w:hint="eastAsia" w:ascii="宋体" w:hAnsi="宋体" w:cs="宋体"/>
                <w:b/>
                <w:szCs w:val="21"/>
              </w:rPr>
              <w:t>（万元）</w:t>
            </w:r>
          </w:p>
        </w:tc>
        <w:tc>
          <w:tcPr>
            <w:tcW w:w="1520" w:type="dxa"/>
            <w:vAlign w:val="center"/>
          </w:tcPr>
          <w:p>
            <w:pPr>
              <w:jc w:val="center"/>
              <w:rPr>
                <w:rFonts w:ascii="宋体" w:hAnsi="宋体" w:cs="宋体"/>
                <w:b/>
                <w:szCs w:val="21"/>
              </w:rPr>
            </w:pPr>
            <w:r>
              <w:rPr>
                <w:rFonts w:hint="eastAsia" w:ascii="宋体" w:hAnsi="宋体" w:cs="宋体"/>
                <w:b/>
                <w:szCs w:val="21"/>
              </w:rPr>
              <w:t>是否专门面向中小企业投标</w:t>
            </w:r>
          </w:p>
        </w:tc>
        <w:tc>
          <w:tcPr>
            <w:tcW w:w="1239" w:type="dxa"/>
            <w:vAlign w:val="center"/>
          </w:tcPr>
          <w:p>
            <w:pPr>
              <w:jc w:val="center"/>
              <w:rPr>
                <w:rFonts w:ascii="宋体" w:hAnsi="宋体" w:cs="宋体"/>
                <w:b/>
                <w:szCs w:val="21"/>
              </w:rPr>
            </w:pPr>
            <w:r>
              <w:rPr>
                <w:rFonts w:hint="eastAsia" w:ascii="宋体" w:hAnsi="宋体" w:cs="宋体"/>
                <w:b/>
                <w:szCs w:val="21"/>
              </w:rPr>
              <w:t>是否接受进口产品投标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0" w:type="auto"/>
            <w:vMerge w:val="restart"/>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rPr>
              <w:t>02</w:t>
            </w: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教师演示台</w:t>
            </w:r>
          </w:p>
        </w:tc>
        <w:tc>
          <w:tcPr>
            <w:tcW w:w="1120" w:type="dxa"/>
            <w:vAlign w:val="center"/>
          </w:tcPr>
          <w:p>
            <w:pPr>
              <w:jc w:val="center"/>
              <w:rPr>
                <w:rFonts w:ascii="宋体" w:hAnsi="宋体" w:cs="宋体"/>
                <w:kern w:val="0"/>
                <w:szCs w:val="21"/>
              </w:rPr>
            </w:pPr>
            <w:r>
              <w:rPr>
                <w:rFonts w:hint="eastAsia" w:ascii="宋体" w:hAnsi="宋体" w:cs="宋体"/>
                <w:kern w:val="0"/>
                <w:szCs w:val="21"/>
              </w:rPr>
              <w:t>1张</w:t>
            </w:r>
          </w:p>
        </w:tc>
        <w:tc>
          <w:tcPr>
            <w:tcW w:w="1360" w:type="dxa"/>
            <w:vMerge w:val="restart"/>
            <w:vAlign w:val="center"/>
          </w:tcPr>
          <w:p>
            <w:pPr>
              <w:jc w:val="center"/>
              <w:rPr>
                <w:rFonts w:ascii="宋体" w:hAnsi="宋体" w:cs="宋体"/>
                <w:kern w:val="0"/>
                <w:szCs w:val="21"/>
              </w:rPr>
            </w:pPr>
            <w:r>
              <w:rPr>
                <w:rFonts w:hint="eastAsia" w:ascii="宋体" w:hAnsi="宋体" w:cs="宋体"/>
                <w:kern w:val="0"/>
                <w:szCs w:val="21"/>
              </w:rPr>
              <w:t>37.81</w:t>
            </w:r>
          </w:p>
        </w:tc>
        <w:tc>
          <w:tcPr>
            <w:tcW w:w="1520" w:type="dxa"/>
            <w:vMerge w:val="restart"/>
            <w:vAlign w:val="center"/>
          </w:tcPr>
          <w:p>
            <w:pPr>
              <w:jc w:val="center"/>
              <w:rPr>
                <w:rFonts w:ascii="宋体" w:hAnsi="宋体" w:cs="宋体"/>
                <w:kern w:val="0"/>
                <w:szCs w:val="21"/>
              </w:rPr>
            </w:pPr>
            <w:r>
              <w:rPr>
                <w:rFonts w:hint="eastAsia" w:ascii="宋体" w:hAnsi="宋体" w:cs="宋体"/>
                <w:kern w:val="0"/>
                <w:szCs w:val="21"/>
              </w:rPr>
              <w:t>否</w:t>
            </w:r>
          </w:p>
        </w:tc>
        <w:tc>
          <w:tcPr>
            <w:tcW w:w="1239" w:type="dxa"/>
            <w:vMerge w:val="restart"/>
            <w:vAlign w:val="center"/>
          </w:tcPr>
          <w:p>
            <w:pPr>
              <w:jc w:val="center"/>
              <w:rPr>
                <w:rFonts w:ascii="宋体" w:hAnsi="宋体" w:cs="宋体"/>
                <w:kern w:val="0"/>
                <w:szCs w:val="21"/>
              </w:rPr>
            </w:pP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教师椅</w:t>
            </w:r>
          </w:p>
        </w:tc>
        <w:tc>
          <w:tcPr>
            <w:tcW w:w="1120" w:type="dxa"/>
            <w:vAlign w:val="center"/>
          </w:tcPr>
          <w:p>
            <w:pPr>
              <w:jc w:val="center"/>
              <w:rPr>
                <w:rFonts w:ascii="宋体" w:hAnsi="宋体" w:cs="宋体"/>
                <w:kern w:val="0"/>
                <w:szCs w:val="21"/>
              </w:rPr>
            </w:pPr>
            <w:r>
              <w:rPr>
                <w:rFonts w:hint="eastAsia" w:ascii="宋体" w:hAnsi="宋体" w:cs="宋体"/>
                <w:kern w:val="0"/>
                <w:szCs w:val="21"/>
              </w:rPr>
              <w:t>1把</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主控电源</w:t>
            </w:r>
          </w:p>
        </w:tc>
        <w:tc>
          <w:tcPr>
            <w:tcW w:w="1120" w:type="dxa"/>
            <w:vAlign w:val="center"/>
          </w:tcPr>
          <w:p>
            <w:pPr>
              <w:jc w:val="center"/>
              <w:rPr>
                <w:rFonts w:ascii="宋体" w:hAnsi="宋体" w:cs="宋体"/>
                <w:kern w:val="0"/>
                <w:szCs w:val="21"/>
              </w:rPr>
            </w:pPr>
            <w:r>
              <w:rPr>
                <w:rFonts w:hint="eastAsia" w:ascii="宋体" w:hAnsi="宋体" w:cs="宋体"/>
                <w:kern w:val="0"/>
                <w:szCs w:val="21"/>
              </w:rPr>
              <w:t>1套</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学生实验桌</w:t>
            </w:r>
          </w:p>
        </w:tc>
        <w:tc>
          <w:tcPr>
            <w:tcW w:w="1120" w:type="dxa"/>
            <w:vAlign w:val="center"/>
          </w:tcPr>
          <w:p>
            <w:pPr>
              <w:jc w:val="center"/>
              <w:rPr>
                <w:rFonts w:ascii="宋体" w:hAnsi="宋体" w:cs="宋体"/>
                <w:kern w:val="0"/>
                <w:szCs w:val="21"/>
              </w:rPr>
            </w:pPr>
            <w:r>
              <w:rPr>
                <w:rFonts w:hint="eastAsia" w:ascii="宋体" w:hAnsi="宋体" w:cs="宋体"/>
                <w:kern w:val="0"/>
                <w:szCs w:val="21"/>
              </w:rPr>
              <w:t>7张</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学生电源</w:t>
            </w:r>
          </w:p>
        </w:tc>
        <w:tc>
          <w:tcPr>
            <w:tcW w:w="1120" w:type="dxa"/>
            <w:vAlign w:val="center"/>
          </w:tcPr>
          <w:p>
            <w:pPr>
              <w:jc w:val="center"/>
              <w:rPr>
                <w:rFonts w:ascii="宋体" w:hAnsi="宋体" w:cs="宋体"/>
                <w:kern w:val="0"/>
                <w:szCs w:val="21"/>
              </w:rPr>
            </w:pPr>
            <w:r>
              <w:rPr>
                <w:rFonts w:hint="eastAsia" w:ascii="宋体" w:hAnsi="宋体" w:cs="宋体"/>
                <w:kern w:val="0"/>
                <w:szCs w:val="21"/>
              </w:rPr>
              <w:t>21套</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学生凳</w:t>
            </w:r>
          </w:p>
        </w:tc>
        <w:tc>
          <w:tcPr>
            <w:tcW w:w="1120" w:type="dxa"/>
            <w:vAlign w:val="center"/>
          </w:tcPr>
          <w:p>
            <w:pPr>
              <w:jc w:val="center"/>
              <w:rPr>
                <w:rFonts w:ascii="宋体" w:hAnsi="宋体" w:cs="宋体"/>
                <w:kern w:val="0"/>
                <w:szCs w:val="21"/>
              </w:rPr>
            </w:pPr>
            <w:r>
              <w:rPr>
                <w:rFonts w:hint="eastAsia" w:ascii="宋体" w:hAnsi="宋体" w:cs="宋体"/>
                <w:kern w:val="0"/>
                <w:szCs w:val="21"/>
              </w:rPr>
              <w:t>42张</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布线系统</w:t>
            </w:r>
          </w:p>
        </w:tc>
        <w:tc>
          <w:tcPr>
            <w:tcW w:w="1120" w:type="dxa"/>
            <w:vAlign w:val="center"/>
          </w:tcPr>
          <w:p>
            <w:pPr>
              <w:jc w:val="center"/>
              <w:rPr>
                <w:rFonts w:ascii="宋体" w:hAnsi="宋体" w:cs="宋体"/>
                <w:kern w:val="0"/>
                <w:szCs w:val="21"/>
              </w:rPr>
            </w:pPr>
            <w:r>
              <w:rPr>
                <w:rFonts w:hint="eastAsia" w:ascii="宋体" w:hAnsi="宋体" w:cs="宋体"/>
                <w:kern w:val="0"/>
                <w:szCs w:val="21"/>
              </w:rPr>
              <w:t>1项</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学生凳</w:t>
            </w:r>
          </w:p>
        </w:tc>
        <w:tc>
          <w:tcPr>
            <w:tcW w:w="1120" w:type="dxa"/>
            <w:vAlign w:val="center"/>
          </w:tcPr>
          <w:p>
            <w:pPr>
              <w:jc w:val="center"/>
              <w:rPr>
                <w:rFonts w:ascii="宋体" w:hAnsi="宋体" w:cs="宋体"/>
                <w:kern w:val="0"/>
                <w:szCs w:val="21"/>
              </w:rPr>
            </w:pPr>
            <w:r>
              <w:rPr>
                <w:rFonts w:hint="eastAsia" w:ascii="宋体" w:hAnsi="宋体" w:cs="宋体"/>
                <w:kern w:val="0"/>
                <w:szCs w:val="21"/>
              </w:rPr>
              <w:t>40个</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教师书法美术桌、凳</w:t>
            </w:r>
          </w:p>
        </w:tc>
        <w:tc>
          <w:tcPr>
            <w:tcW w:w="1120" w:type="dxa"/>
            <w:vAlign w:val="center"/>
          </w:tcPr>
          <w:p>
            <w:pPr>
              <w:jc w:val="center"/>
              <w:rPr>
                <w:rFonts w:ascii="宋体" w:hAnsi="宋体" w:cs="宋体"/>
                <w:kern w:val="0"/>
                <w:szCs w:val="21"/>
              </w:rPr>
            </w:pPr>
            <w:r>
              <w:rPr>
                <w:rFonts w:hint="eastAsia" w:ascii="宋体" w:hAnsi="宋体" w:cs="宋体"/>
                <w:kern w:val="0"/>
                <w:szCs w:val="21"/>
              </w:rPr>
              <w:t>1套</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学生书法美术桌</w:t>
            </w:r>
          </w:p>
        </w:tc>
        <w:tc>
          <w:tcPr>
            <w:tcW w:w="1120" w:type="dxa"/>
            <w:vAlign w:val="center"/>
          </w:tcPr>
          <w:p>
            <w:pPr>
              <w:jc w:val="center"/>
              <w:rPr>
                <w:rFonts w:ascii="宋体" w:hAnsi="宋体" w:cs="宋体"/>
                <w:kern w:val="0"/>
                <w:szCs w:val="21"/>
              </w:rPr>
            </w:pPr>
            <w:r>
              <w:rPr>
                <w:rFonts w:hint="eastAsia" w:ascii="宋体" w:hAnsi="宋体" w:cs="宋体"/>
                <w:kern w:val="0"/>
                <w:szCs w:val="21"/>
              </w:rPr>
              <w:t>15张</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学生书法凳</w:t>
            </w:r>
          </w:p>
        </w:tc>
        <w:tc>
          <w:tcPr>
            <w:tcW w:w="1120" w:type="dxa"/>
            <w:vAlign w:val="center"/>
          </w:tcPr>
          <w:p>
            <w:pPr>
              <w:jc w:val="center"/>
              <w:rPr>
                <w:rFonts w:ascii="宋体" w:hAnsi="宋体" w:cs="宋体"/>
                <w:kern w:val="0"/>
                <w:szCs w:val="21"/>
              </w:rPr>
            </w:pPr>
            <w:r>
              <w:rPr>
                <w:rFonts w:hint="eastAsia" w:ascii="宋体" w:hAnsi="宋体" w:cs="宋体"/>
                <w:kern w:val="0"/>
                <w:szCs w:val="21"/>
              </w:rPr>
              <w:t>30把</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计算机</w:t>
            </w:r>
          </w:p>
          <w:p>
            <w:pPr>
              <w:jc w:val="center"/>
              <w:rPr>
                <w:rFonts w:ascii="宋体" w:hAnsi="宋体" w:cs="宋体"/>
                <w:kern w:val="0"/>
                <w:szCs w:val="21"/>
              </w:rPr>
            </w:pPr>
            <w:r>
              <w:rPr>
                <w:rFonts w:hint="eastAsia" w:ascii="宋体" w:hAnsi="宋体" w:cs="宋体"/>
                <w:kern w:val="0"/>
                <w:szCs w:val="21"/>
              </w:rPr>
              <w:t>教师演示台</w:t>
            </w:r>
          </w:p>
        </w:tc>
        <w:tc>
          <w:tcPr>
            <w:tcW w:w="1120" w:type="dxa"/>
            <w:vAlign w:val="center"/>
          </w:tcPr>
          <w:p>
            <w:pPr>
              <w:jc w:val="center"/>
              <w:rPr>
                <w:rFonts w:ascii="宋体" w:hAnsi="宋体" w:cs="宋体"/>
                <w:kern w:val="0"/>
                <w:szCs w:val="21"/>
              </w:rPr>
            </w:pPr>
            <w:r>
              <w:rPr>
                <w:rFonts w:hint="eastAsia" w:ascii="宋体" w:hAnsi="宋体" w:cs="宋体"/>
                <w:kern w:val="0"/>
                <w:szCs w:val="21"/>
              </w:rPr>
              <w:t>1张</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办公椅</w:t>
            </w:r>
          </w:p>
        </w:tc>
        <w:tc>
          <w:tcPr>
            <w:tcW w:w="1120" w:type="dxa"/>
            <w:vAlign w:val="center"/>
          </w:tcPr>
          <w:p>
            <w:pPr>
              <w:jc w:val="center"/>
              <w:rPr>
                <w:rFonts w:ascii="宋体" w:hAnsi="宋体" w:cs="宋体"/>
                <w:kern w:val="0"/>
                <w:szCs w:val="21"/>
              </w:rPr>
            </w:pPr>
            <w:r>
              <w:rPr>
                <w:rFonts w:hint="eastAsia" w:ascii="宋体" w:hAnsi="宋体" w:cs="宋体"/>
                <w:kern w:val="0"/>
                <w:szCs w:val="21"/>
              </w:rPr>
              <w:t>1张</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计算机桌</w:t>
            </w:r>
          </w:p>
        </w:tc>
        <w:tc>
          <w:tcPr>
            <w:tcW w:w="1120" w:type="dxa"/>
            <w:vAlign w:val="center"/>
          </w:tcPr>
          <w:p>
            <w:pPr>
              <w:jc w:val="center"/>
              <w:rPr>
                <w:rFonts w:ascii="宋体" w:hAnsi="宋体" w:cs="宋体"/>
                <w:kern w:val="0"/>
                <w:szCs w:val="21"/>
              </w:rPr>
            </w:pPr>
            <w:r>
              <w:rPr>
                <w:rFonts w:hint="eastAsia" w:ascii="宋体" w:hAnsi="宋体" w:cs="宋体"/>
                <w:kern w:val="0"/>
                <w:szCs w:val="21"/>
              </w:rPr>
              <w:t>40座</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学生凳</w:t>
            </w:r>
          </w:p>
        </w:tc>
        <w:tc>
          <w:tcPr>
            <w:tcW w:w="1120" w:type="dxa"/>
            <w:vAlign w:val="center"/>
          </w:tcPr>
          <w:p>
            <w:pPr>
              <w:jc w:val="center"/>
              <w:rPr>
                <w:rFonts w:ascii="宋体" w:hAnsi="宋体" w:cs="宋体"/>
                <w:kern w:val="0"/>
                <w:szCs w:val="21"/>
              </w:rPr>
            </w:pPr>
            <w:r>
              <w:rPr>
                <w:rFonts w:hint="eastAsia" w:ascii="宋体" w:hAnsi="宋体" w:cs="宋体"/>
                <w:kern w:val="0"/>
                <w:szCs w:val="21"/>
              </w:rPr>
              <w:t>40个</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防静电</w:t>
            </w:r>
          </w:p>
          <w:p>
            <w:pPr>
              <w:jc w:val="center"/>
              <w:rPr>
                <w:rFonts w:ascii="宋体" w:hAnsi="宋体" w:cs="宋体"/>
                <w:kern w:val="0"/>
                <w:szCs w:val="21"/>
              </w:rPr>
            </w:pPr>
            <w:r>
              <w:rPr>
                <w:rFonts w:hint="eastAsia" w:ascii="宋体" w:hAnsi="宋体" w:cs="宋体"/>
                <w:kern w:val="0"/>
                <w:szCs w:val="21"/>
              </w:rPr>
              <w:t>陶瓷地板</w:t>
            </w:r>
          </w:p>
        </w:tc>
        <w:tc>
          <w:tcPr>
            <w:tcW w:w="1120" w:type="dxa"/>
            <w:vAlign w:val="center"/>
          </w:tcPr>
          <w:p>
            <w:pPr>
              <w:jc w:val="center"/>
              <w:rPr>
                <w:rFonts w:ascii="宋体" w:hAnsi="宋体" w:cs="宋体"/>
                <w:kern w:val="0"/>
                <w:szCs w:val="21"/>
              </w:rPr>
            </w:pPr>
            <w:r>
              <w:rPr>
                <w:rFonts w:hint="eastAsia" w:ascii="宋体" w:hAnsi="宋体" w:cs="宋体"/>
                <w:kern w:val="0"/>
                <w:szCs w:val="21"/>
              </w:rPr>
              <w:t>93平方米</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路由器</w:t>
            </w:r>
          </w:p>
        </w:tc>
        <w:tc>
          <w:tcPr>
            <w:tcW w:w="1120" w:type="dxa"/>
            <w:vAlign w:val="center"/>
          </w:tcPr>
          <w:p>
            <w:pPr>
              <w:jc w:val="center"/>
              <w:rPr>
                <w:rFonts w:ascii="宋体" w:hAnsi="宋体" w:cs="宋体"/>
                <w:kern w:val="0"/>
                <w:szCs w:val="21"/>
              </w:rPr>
            </w:pPr>
            <w:r>
              <w:rPr>
                <w:rFonts w:hint="eastAsia" w:ascii="宋体" w:hAnsi="宋体" w:cs="宋体"/>
                <w:kern w:val="0"/>
                <w:szCs w:val="21"/>
              </w:rPr>
              <w:t>2台</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24口千兆</w:t>
            </w:r>
          </w:p>
          <w:p>
            <w:pPr>
              <w:jc w:val="center"/>
              <w:rPr>
                <w:rFonts w:ascii="宋体" w:hAnsi="宋体" w:cs="宋体"/>
                <w:kern w:val="0"/>
                <w:szCs w:val="21"/>
              </w:rPr>
            </w:pPr>
            <w:r>
              <w:rPr>
                <w:rFonts w:hint="eastAsia" w:ascii="宋体" w:hAnsi="宋体" w:cs="宋体"/>
                <w:kern w:val="0"/>
                <w:szCs w:val="21"/>
              </w:rPr>
              <w:t>交换机</w:t>
            </w:r>
          </w:p>
        </w:tc>
        <w:tc>
          <w:tcPr>
            <w:tcW w:w="1120" w:type="dxa"/>
            <w:vAlign w:val="center"/>
          </w:tcPr>
          <w:p>
            <w:pPr>
              <w:jc w:val="center"/>
              <w:rPr>
                <w:rFonts w:ascii="宋体" w:hAnsi="宋体" w:cs="宋体"/>
                <w:kern w:val="0"/>
                <w:szCs w:val="21"/>
              </w:rPr>
            </w:pPr>
            <w:r>
              <w:rPr>
                <w:rFonts w:hint="eastAsia" w:ascii="宋体" w:hAnsi="宋体" w:cs="宋体"/>
                <w:kern w:val="0"/>
                <w:szCs w:val="21"/>
              </w:rPr>
              <w:t>2台</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接线板</w:t>
            </w:r>
          </w:p>
        </w:tc>
        <w:tc>
          <w:tcPr>
            <w:tcW w:w="1120" w:type="dxa"/>
            <w:vAlign w:val="center"/>
          </w:tcPr>
          <w:p>
            <w:pPr>
              <w:jc w:val="center"/>
              <w:rPr>
                <w:rFonts w:ascii="宋体" w:hAnsi="宋体" w:cs="宋体"/>
                <w:kern w:val="0"/>
                <w:szCs w:val="21"/>
              </w:rPr>
            </w:pPr>
            <w:r>
              <w:rPr>
                <w:rFonts w:hint="eastAsia" w:ascii="宋体" w:hAnsi="宋体" w:cs="宋体"/>
                <w:kern w:val="0"/>
                <w:szCs w:val="21"/>
              </w:rPr>
              <w:t>41套</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网线</w:t>
            </w:r>
          </w:p>
        </w:tc>
        <w:tc>
          <w:tcPr>
            <w:tcW w:w="1120" w:type="dxa"/>
            <w:vAlign w:val="center"/>
          </w:tcPr>
          <w:p>
            <w:pPr>
              <w:jc w:val="center"/>
              <w:rPr>
                <w:rFonts w:ascii="宋体" w:hAnsi="宋体" w:cs="宋体"/>
                <w:kern w:val="0"/>
                <w:szCs w:val="21"/>
              </w:rPr>
            </w:pPr>
            <w:r>
              <w:rPr>
                <w:rFonts w:hint="eastAsia" w:ascii="宋体" w:hAnsi="宋体" w:cs="宋体"/>
                <w:kern w:val="0"/>
                <w:szCs w:val="21"/>
              </w:rPr>
              <w:t>1000米</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水晶头</w:t>
            </w:r>
          </w:p>
        </w:tc>
        <w:tc>
          <w:tcPr>
            <w:tcW w:w="1120" w:type="dxa"/>
            <w:vAlign w:val="center"/>
          </w:tcPr>
          <w:p>
            <w:pPr>
              <w:jc w:val="center"/>
              <w:rPr>
                <w:rFonts w:ascii="宋体" w:hAnsi="宋体" w:cs="宋体"/>
                <w:kern w:val="0"/>
                <w:szCs w:val="21"/>
              </w:rPr>
            </w:pPr>
            <w:r>
              <w:rPr>
                <w:rFonts w:hint="eastAsia" w:ascii="宋体" w:hAnsi="宋体" w:cs="宋体"/>
                <w:kern w:val="0"/>
                <w:szCs w:val="21"/>
              </w:rPr>
              <w:t>100个</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机柜</w:t>
            </w:r>
          </w:p>
        </w:tc>
        <w:tc>
          <w:tcPr>
            <w:tcW w:w="1120" w:type="dxa"/>
            <w:vAlign w:val="center"/>
          </w:tcPr>
          <w:p>
            <w:pPr>
              <w:jc w:val="center"/>
              <w:rPr>
                <w:rFonts w:ascii="宋体" w:hAnsi="宋体" w:cs="宋体"/>
                <w:kern w:val="0"/>
                <w:szCs w:val="21"/>
              </w:rPr>
            </w:pPr>
            <w:r>
              <w:rPr>
                <w:rFonts w:hint="eastAsia" w:ascii="宋体" w:hAnsi="宋体" w:cs="宋体"/>
                <w:kern w:val="0"/>
                <w:szCs w:val="21"/>
              </w:rPr>
              <w:t>1套</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RJ45配线架</w:t>
            </w:r>
          </w:p>
        </w:tc>
        <w:tc>
          <w:tcPr>
            <w:tcW w:w="1120" w:type="dxa"/>
            <w:vAlign w:val="center"/>
          </w:tcPr>
          <w:p>
            <w:pPr>
              <w:jc w:val="center"/>
              <w:rPr>
                <w:rFonts w:ascii="宋体" w:hAnsi="宋体" w:cs="宋体"/>
                <w:kern w:val="0"/>
                <w:szCs w:val="21"/>
              </w:rPr>
            </w:pPr>
            <w:r>
              <w:rPr>
                <w:rFonts w:hint="eastAsia" w:ascii="宋体" w:hAnsi="宋体" w:cs="宋体"/>
                <w:kern w:val="0"/>
                <w:szCs w:val="21"/>
              </w:rPr>
              <w:t>2条</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RJ45六类跳线</w:t>
            </w:r>
          </w:p>
        </w:tc>
        <w:tc>
          <w:tcPr>
            <w:tcW w:w="1120" w:type="dxa"/>
            <w:vAlign w:val="center"/>
          </w:tcPr>
          <w:p>
            <w:pPr>
              <w:jc w:val="center"/>
              <w:rPr>
                <w:rFonts w:ascii="宋体" w:hAnsi="宋体" w:cs="宋体"/>
                <w:kern w:val="0"/>
                <w:szCs w:val="21"/>
              </w:rPr>
            </w:pPr>
            <w:r>
              <w:rPr>
                <w:rFonts w:hint="eastAsia" w:ascii="宋体" w:hAnsi="宋体" w:cs="宋体"/>
                <w:kern w:val="0"/>
                <w:szCs w:val="21"/>
              </w:rPr>
              <w:t>41条</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理线器（理线槽）</w:t>
            </w:r>
          </w:p>
        </w:tc>
        <w:tc>
          <w:tcPr>
            <w:tcW w:w="1120" w:type="dxa"/>
            <w:vAlign w:val="center"/>
          </w:tcPr>
          <w:p>
            <w:pPr>
              <w:jc w:val="center"/>
              <w:rPr>
                <w:rFonts w:ascii="宋体" w:hAnsi="宋体" w:cs="宋体"/>
                <w:kern w:val="0"/>
                <w:szCs w:val="21"/>
              </w:rPr>
            </w:pPr>
            <w:r>
              <w:rPr>
                <w:rFonts w:hint="eastAsia" w:ascii="宋体" w:hAnsi="宋体" w:cs="宋体"/>
                <w:kern w:val="0"/>
                <w:szCs w:val="21"/>
              </w:rPr>
              <w:t>5套</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配电柜</w:t>
            </w:r>
          </w:p>
        </w:tc>
        <w:tc>
          <w:tcPr>
            <w:tcW w:w="1120" w:type="dxa"/>
            <w:vAlign w:val="center"/>
          </w:tcPr>
          <w:p>
            <w:pPr>
              <w:jc w:val="center"/>
              <w:rPr>
                <w:rFonts w:ascii="宋体" w:hAnsi="宋体" w:cs="宋体"/>
                <w:kern w:val="0"/>
                <w:szCs w:val="21"/>
              </w:rPr>
            </w:pPr>
            <w:r>
              <w:rPr>
                <w:rFonts w:hint="eastAsia" w:ascii="宋体" w:hAnsi="宋体" w:cs="宋体"/>
                <w:kern w:val="0"/>
                <w:szCs w:val="21"/>
              </w:rPr>
              <w:t>1套</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地插面板</w:t>
            </w:r>
          </w:p>
        </w:tc>
        <w:tc>
          <w:tcPr>
            <w:tcW w:w="1120" w:type="dxa"/>
            <w:vAlign w:val="center"/>
          </w:tcPr>
          <w:p>
            <w:pPr>
              <w:jc w:val="center"/>
              <w:rPr>
                <w:rFonts w:ascii="宋体" w:hAnsi="宋体" w:cs="宋体"/>
                <w:kern w:val="0"/>
                <w:szCs w:val="21"/>
              </w:rPr>
            </w:pPr>
            <w:r>
              <w:rPr>
                <w:rFonts w:hint="eastAsia" w:ascii="宋体" w:hAnsi="宋体" w:cs="宋体"/>
                <w:kern w:val="0"/>
                <w:szCs w:val="21"/>
              </w:rPr>
              <w:t>21套</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电线</w:t>
            </w:r>
          </w:p>
        </w:tc>
        <w:tc>
          <w:tcPr>
            <w:tcW w:w="1120" w:type="dxa"/>
            <w:vAlign w:val="center"/>
          </w:tcPr>
          <w:p>
            <w:pPr>
              <w:jc w:val="center"/>
              <w:rPr>
                <w:rFonts w:ascii="宋体" w:hAnsi="宋体" w:cs="宋体"/>
                <w:kern w:val="0"/>
                <w:szCs w:val="21"/>
              </w:rPr>
            </w:pPr>
            <w:r>
              <w:rPr>
                <w:rFonts w:hint="eastAsia" w:ascii="宋体" w:hAnsi="宋体" w:cs="宋体"/>
                <w:kern w:val="0"/>
                <w:szCs w:val="21"/>
              </w:rPr>
              <w:t>600米</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主电线</w:t>
            </w:r>
          </w:p>
        </w:tc>
        <w:tc>
          <w:tcPr>
            <w:tcW w:w="1120" w:type="dxa"/>
            <w:vAlign w:val="center"/>
          </w:tcPr>
          <w:p>
            <w:pPr>
              <w:jc w:val="center"/>
              <w:rPr>
                <w:rFonts w:ascii="宋体" w:hAnsi="宋体" w:cs="宋体"/>
                <w:kern w:val="0"/>
                <w:szCs w:val="21"/>
              </w:rPr>
            </w:pPr>
            <w:r>
              <w:rPr>
                <w:rFonts w:hint="eastAsia" w:ascii="宋体" w:hAnsi="宋体" w:cs="宋体"/>
                <w:kern w:val="0"/>
                <w:szCs w:val="21"/>
              </w:rPr>
              <w:t>200米</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pvc线槽</w:t>
            </w:r>
          </w:p>
        </w:tc>
        <w:tc>
          <w:tcPr>
            <w:tcW w:w="1120" w:type="dxa"/>
            <w:vAlign w:val="center"/>
          </w:tcPr>
          <w:p>
            <w:pPr>
              <w:jc w:val="center"/>
              <w:rPr>
                <w:rFonts w:ascii="宋体" w:hAnsi="宋体" w:cs="宋体"/>
                <w:kern w:val="0"/>
                <w:szCs w:val="21"/>
              </w:rPr>
            </w:pPr>
            <w:r>
              <w:rPr>
                <w:rFonts w:hint="eastAsia" w:ascii="宋体" w:hAnsi="宋体" w:cs="宋体"/>
                <w:kern w:val="0"/>
                <w:szCs w:val="21"/>
              </w:rPr>
              <w:t>130米</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铁线槽</w:t>
            </w:r>
          </w:p>
        </w:tc>
        <w:tc>
          <w:tcPr>
            <w:tcW w:w="1120" w:type="dxa"/>
            <w:vAlign w:val="center"/>
          </w:tcPr>
          <w:p>
            <w:pPr>
              <w:jc w:val="center"/>
              <w:rPr>
                <w:rFonts w:ascii="宋体" w:hAnsi="宋体" w:cs="宋体"/>
                <w:kern w:val="0"/>
                <w:szCs w:val="21"/>
              </w:rPr>
            </w:pPr>
            <w:r>
              <w:rPr>
                <w:rFonts w:hint="eastAsia" w:ascii="宋体" w:hAnsi="宋体" w:cs="宋体"/>
                <w:kern w:val="0"/>
                <w:szCs w:val="21"/>
              </w:rPr>
              <w:t>130米</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阅览椅</w:t>
            </w:r>
          </w:p>
        </w:tc>
        <w:tc>
          <w:tcPr>
            <w:tcW w:w="1120" w:type="dxa"/>
            <w:vAlign w:val="center"/>
          </w:tcPr>
          <w:p>
            <w:pPr>
              <w:jc w:val="center"/>
              <w:rPr>
                <w:rFonts w:ascii="宋体" w:hAnsi="宋体" w:cs="宋体"/>
                <w:kern w:val="0"/>
                <w:szCs w:val="21"/>
              </w:rPr>
            </w:pPr>
            <w:r>
              <w:rPr>
                <w:rFonts w:hint="eastAsia" w:ascii="宋体" w:hAnsi="宋体" w:cs="宋体"/>
                <w:kern w:val="0"/>
                <w:szCs w:val="21"/>
              </w:rPr>
              <w:t>48个</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tcMar>
              <w:top w:w="0" w:type="dxa"/>
              <w:left w:w="105" w:type="dxa"/>
              <w:bottom w:w="0" w:type="dxa"/>
              <w:right w:w="105" w:type="dxa"/>
            </w:tcMar>
            <w:vAlign w:val="center"/>
          </w:tcPr>
          <w:p>
            <w:pPr>
              <w:rPr>
                <w:rFonts w:ascii="宋体" w:hAnsi="宋体" w:cs="宋体"/>
                <w:szCs w:val="21"/>
              </w:rPr>
            </w:pPr>
          </w:p>
        </w:tc>
        <w:tc>
          <w:tcPr>
            <w:tcW w:w="3838"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kern w:val="0"/>
                <w:szCs w:val="21"/>
              </w:rPr>
              <w:t>目录柜</w:t>
            </w:r>
          </w:p>
        </w:tc>
        <w:tc>
          <w:tcPr>
            <w:tcW w:w="1120" w:type="dxa"/>
            <w:vAlign w:val="center"/>
          </w:tcPr>
          <w:p>
            <w:pPr>
              <w:jc w:val="center"/>
              <w:rPr>
                <w:rFonts w:ascii="宋体" w:hAnsi="宋体" w:cs="宋体"/>
                <w:kern w:val="0"/>
                <w:szCs w:val="21"/>
              </w:rPr>
            </w:pPr>
            <w:r>
              <w:rPr>
                <w:rFonts w:hint="eastAsia" w:ascii="宋体" w:hAnsi="宋体" w:cs="宋体"/>
                <w:kern w:val="0"/>
                <w:szCs w:val="21"/>
              </w:rPr>
              <w:t>2个</w:t>
            </w:r>
          </w:p>
        </w:tc>
        <w:tc>
          <w:tcPr>
            <w:tcW w:w="1360" w:type="dxa"/>
            <w:vMerge w:val="continue"/>
            <w:vAlign w:val="center"/>
          </w:tcPr>
          <w:p>
            <w:pPr>
              <w:jc w:val="center"/>
              <w:rPr>
                <w:rFonts w:ascii="宋体" w:hAnsi="宋体" w:cs="宋体"/>
                <w:kern w:val="0"/>
                <w:szCs w:val="21"/>
              </w:rPr>
            </w:pPr>
          </w:p>
        </w:tc>
        <w:tc>
          <w:tcPr>
            <w:tcW w:w="1520" w:type="dxa"/>
            <w:vMerge w:val="continue"/>
            <w:vAlign w:val="center"/>
          </w:tcPr>
          <w:p>
            <w:pPr>
              <w:jc w:val="center"/>
              <w:rPr>
                <w:rFonts w:ascii="宋体" w:hAnsi="宋体" w:cs="宋体"/>
                <w:szCs w:val="21"/>
              </w:rPr>
            </w:pPr>
          </w:p>
        </w:tc>
        <w:tc>
          <w:tcPr>
            <w:tcW w:w="1239" w:type="dxa"/>
            <w:vMerge w:val="continue"/>
            <w:vAlign w:val="center"/>
          </w:tcPr>
          <w:p>
            <w:pPr>
              <w:jc w:val="center"/>
              <w:rPr>
                <w:rFonts w:ascii="宋体" w:hAnsi="宋体" w:cs="宋体"/>
                <w:szCs w:val="21"/>
              </w:rPr>
            </w:pPr>
          </w:p>
        </w:tc>
      </w:tr>
    </w:tbl>
    <w:p>
      <w:pPr>
        <w:rPr>
          <w:rFonts w:ascii="宋体" w:hAnsi="宋体"/>
          <w:b/>
          <w:bCs/>
          <w:sz w:val="24"/>
        </w:rPr>
      </w:pPr>
    </w:p>
    <w:p>
      <w:pPr>
        <w:pStyle w:val="5"/>
        <w:ind w:firstLine="0"/>
      </w:pPr>
    </w:p>
    <w:p>
      <w:pPr>
        <w:pStyle w:val="5"/>
        <w:rPr>
          <w:rFonts w:hAnsi="宋体"/>
          <w:b/>
          <w:bCs/>
        </w:rPr>
      </w:pPr>
      <w:r>
        <w:rPr>
          <w:rFonts w:hint="eastAsia" w:hAnsi="宋体"/>
          <w:b/>
          <w:bCs/>
        </w:rPr>
        <w:t>二、技术要求</w:t>
      </w:r>
    </w:p>
    <w:p>
      <w:pPr>
        <w:rPr>
          <w:b/>
          <w:bCs/>
        </w:rPr>
      </w:pPr>
    </w:p>
    <w:p>
      <w:pPr>
        <w:jc w:val="center"/>
        <w:rPr>
          <w:b/>
          <w:bCs/>
        </w:rPr>
      </w:pPr>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468"/>
        <w:gridCol w:w="5825"/>
        <w:gridCol w:w="790"/>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6"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 号</w:t>
            </w:r>
          </w:p>
        </w:tc>
        <w:tc>
          <w:tcPr>
            <w:tcW w:w="745"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标的名称</w:t>
            </w:r>
          </w:p>
        </w:tc>
        <w:tc>
          <w:tcPr>
            <w:tcW w:w="2956"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招标参数</w:t>
            </w:r>
          </w:p>
        </w:tc>
        <w:tc>
          <w:tcPr>
            <w:tcW w:w="401"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单 位</w:t>
            </w:r>
          </w:p>
        </w:tc>
        <w:tc>
          <w:tcPr>
            <w:tcW w:w="448"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000" w:type="pct"/>
            <w:gridSpan w:val="5"/>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一、小学科学教室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教师演示台</w:t>
            </w:r>
          </w:p>
        </w:tc>
        <w:tc>
          <w:tcPr>
            <w:tcW w:w="5825" w:type="dxa"/>
            <w:shd w:val="clear" w:color="auto" w:fill="auto"/>
            <w:vAlign w:val="center"/>
          </w:tcPr>
          <w:p>
            <w:pPr>
              <w:widowControl/>
              <w:wordWrap w:val="0"/>
              <w:jc w:val="left"/>
              <w:rPr>
                <w:rFonts w:ascii="宋体" w:hAnsi="宋体" w:cs="宋体"/>
                <w:b w:val="0"/>
                <w:bCs w:val="0"/>
                <w:kern w:val="0"/>
                <w:szCs w:val="21"/>
              </w:rPr>
            </w:pPr>
            <w:r>
              <w:rPr>
                <w:rFonts w:hint="eastAsia" w:ascii="宋体" w:hAnsi="宋体" w:cs="宋体"/>
                <w:kern w:val="0"/>
                <w:szCs w:val="21"/>
              </w:rPr>
              <w:t>1.规格：≥2400mm（L）×700mm（W）×850mm（H），采用铝木结构；台面：采用≥13.0mm厚优抗板台面，台面边缘用同质材料板双层加厚至≥26.0mm。</w:t>
            </w:r>
            <w:r>
              <w:rPr>
                <w:rFonts w:hint="eastAsia" w:ascii="宋体" w:hAnsi="宋体" w:cs="宋体"/>
                <w:kern w:val="0"/>
                <w:szCs w:val="21"/>
              </w:rPr>
              <w:br w:type="textWrapping"/>
            </w:r>
            <w:r>
              <w:rPr>
                <w:rFonts w:hint="eastAsia" w:ascii="宋体" w:hAnsi="宋体" w:cs="宋体"/>
                <w:b w:val="0"/>
                <w:bCs w:val="0"/>
                <w:kern w:val="0"/>
                <w:szCs w:val="21"/>
              </w:rPr>
              <w:t>#2.为确保使用者的健康安全，台面板需提供有效的第三方检测机构出具的检测报告复印件并加盖</w:t>
            </w:r>
            <w:r>
              <w:rPr>
                <w:rFonts w:hint="eastAsia" w:ascii="宋体" w:hAnsi="宋体" w:cs="宋体"/>
                <w:b w:val="0"/>
                <w:bCs w:val="0"/>
                <w:kern w:val="0"/>
                <w:szCs w:val="21"/>
                <w:lang w:val="en-US" w:eastAsia="zh-CN"/>
              </w:rPr>
              <w:t>制造</w:t>
            </w:r>
            <w:r>
              <w:rPr>
                <w:rFonts w:hint="eastAsia" w:ascii="宋体" w:hAnsi="宋体" w:cs="宋体"/>
                <w:b w:val="0"/>
                <w:bCs w:val="0"/>
                <w:kern w:val="0"/>
                <w:szCs w:val="21"/>
              </w:rPr>
              <w:t>商公章。</w:t>
            </w:r>
          </w:p>
          <w:p>
            <w:pPr>
              <w:widowControl/>
              <w:wordWrap w:val="0"/>
              <w:jc w:val="left"/>
              <w:rPr>
                <w:rFonts w:ascii="宋体" w:hAnsi="宋体" w:cs="宋体"/>
                <w:b w:val="0"/>
                <w:bCs w:val="0"/>
                <w:kern w:val="0"/>
                <w:szCs w:val="21"/>
              </w:rPr>
            </w:pPr>
            <w:r>
              <w:rPr>
                <w:rFonts w:hint="eastAsia" w:ascii="宋体" w:hAnsi="宋体" w:cs="宋体"/>
                <w:b w:val="0"/>
                <w:bCs w:val="0"/>
                <w:kern w:val="0"/>
                <w:szCs w:val="21"/>
              </w:rPr>
              <w:t>检测内容如下：</w:t>
            </w:r>
          </w:p>
          <w:p>
            <w:pPr>
              <w:widowControl/>
              <w:wordWrap w:val="0"/>
              <w:jc w:val="left"/>
              <w:rPr>
                <w:rFonts w:ascii="宋体" w:hAnsi="宋体" w:cs="宋体"/>
                <w:kern w:val="0"/>
                <w:szCs w:val="21"/>
              </w:rPr>
            </w:pPr>
            <w:r>
              <w:rPr>
                <w:rFonts w:hint="eastAsia" w:ascii="宋体" w:hAnsi="宋体" w:cs="宋体"/>
                <w:kern w:val="0"/>
                <w:szCs w:val="21"/>
              </w:rPr>
              <w:t>（1）化学性能检测：台面板通过硫酸（98%）、氢氟酸（48%）、硝酸（65%）、四氯化碳、氢氧化钠（40%）、乙腈、碘伏等不少于130项化学试剂及有机溶液检测。</w:t>
            </w:r>
            <w:r>
              <w:rPr>
                <w:rFonts w:hint="eastAsia" w:ascii="宋体" w:hAnsi="宋体" w:cs="宋体"/>
                <w:kern w:val="0"/>
                <w:szCs w:val="21"/>
              </w:rPr>
              <w:br w:type="textWrapping"/>
            </w:r>
            <w:r>
              <w:rPr>
                <w:rFonts w:hint="eastAsia" w:ascii="宋体" w:hAnsi="宋体" w:cs="宋体"/>
                <w:kern w:val="0"/>
                <w:szCs w:val="21"/>
              </w:rPr>
              <w:t>（2）环保性能检测：参照GB 18580-2017等标准，甲醛释放量满足E1级技术指标要求，释放量检测结果值＜0.08mg/m³（未检出）;参照GB18584-2001等标准，4种重金属含量检测：铅≤1.1mg/kg，镉、铬、汞均未检出。</w:t>
            </w:r>
            <w:r>
              <w:rPr>
                <w:rFonts w:hint="eastAsia" w:ascii="宋体" w:hAnsi="宋体" w:cs="宋体"/>
                <w:kern w:val="0"/>
                <w:szCs w:val="21"/>
              </w:rPr>
              <w:br w:type="textWrapping"/>
            </w:r>
            <w:r>
              <w:rPr>
                <w:rFonts w:hint="eastAsia" w:ascii="宋体" w:hAnsi="宋体" w:cs="宋体"/>
                <w:kern w:val="0"/>
                <w:szCs w:val="21"/>
              </w:rPr>
              <w:t>（3）物理性能检测：包含：吸水率（24h）：≤0.1%；静曲强度：≥134MPa；耐干热性能、耐湿热性能、表面耐香烟灼烧：5级、表面无明显变化；漆膜硬度：≥9H；含水率≤1.2%；表面耐磨性能为≥849r；尺寸稳定性检测结果≤0.2%；表面耐龟裂性能：5级，用6倍放大镜观察无裂纹；表面耐划痕性能：2.5N试件表面无大于90%的连续划痕；耐光色牢度：≥灰色样卡4级；点对点电阻值≤8.16×10</w:t>
            </w:r>
            <w:r>
              <w:rPr>
                <w:rFonts w:hint="eastAsia" w:ascii="MS Gothic" w:hAnsi="MS Gothic" w:eastAsia="MS Gothic" w:cs="MS Gothic"/>
                <w:kern w:val="0"/>
                <w:szCs w:val="21"/>
              </w:rPr>
              <w:t>⁹</w:t>
            </w:r>
            <w:r>
              <w:rPr>
                <w:rFonts w:ascii="宋体" w:hAnsi="宋体" w:cs="Calibri"/>
                <w:kern w:val="0"/>
                <w:szCs w:val="21"/>
              </w:rPr>
              <w:t>Ω</w:t>
            </w:r>
            <w:r>
              <w:rPr>
                <w:rFonts w:hint="eastAsia" w:ascii="宋体" w:hAnsi="宋体" w:cs="宋体"/>
                <w:kern w:val="0"/>
                <w:szCs w:val="21"/>
              </w:rPr>
              <w:t>、体积电阻值≤8.79×10</w:t>
            </w:r>
            <w:r>
              <w:rPr>
                <w:rFonts w:hint="eastAsia" w:ascii="微软雅黑" w:hAnsi="微软雅黑" w:eastAsia="微软雅黑" w:cs="微软雅黑"/>
                <w:kern w:val="0"/>
                <w:szCs w:val="21"/>
              </w:rPr>
              <w:t>⁸</w:t>
            </w:r>
            <w:r>
              <w:rPr>
                <w:rFonts w:ascii="宋体" w:hAnsi="宋体" w:cs="Calibri"/>
                <w:kern w:val="0"/>
                <w:szCs w:val="21"/>
              </w:rPr>
              <w:t>Ω</w:t>
            </w:r>
            <w:r>
              <w:rPr>
                <w:rFonts w:hint="eastAsia" w:ascii="宋体" w:hAnsi="宋体" w:cs="宋体"/>
                <w:kern w:val="0"/>
                <w:szCs w:val="21"/>
              </w:rPr>
              <w:t>、表面电阻值≤6.32×10</w:t>
            </w:r>
            <w:r>
              <w:rPr>
                <w:rFonts w:hint="eastAsia" w:ascii="微软雅黑" w:hAnsi="微软雅黑" w:eastAsia="微软雅黑" w:cs="微软雅黑"/>
                <w:kern w:val="0"/>
                <w:szCs w:val="21"/>
              </w:rPr>
              <w:t>⁷</w:t>
            </w:r>
            <w:r>
              <w:rPr>
                <w:rFonts w:ascii="宋体" w:hAnsi="宋体" w:cs="Calibri"/>
                <w:kern w:val="0"/>
                <w:szCs w:val="21"/>
              </w:rPr>
              <w:t>Ω</w:t>
            </w:r>
            <w:r>
              <w:rPr>
                <w:rFonts w:hint="eastAsia" w:ascii="宋体" w:hAnsi="宋体" w:cs="宋体"/>
                <w:kern w:val="0"/>
                <w:szCs w:val="21"/>
              </w:rPr>
              <w:t>等不少于24项物理性能检测。</w:t>
            </w:r>
            <w:r>
              <w:rPr>
                <w:rFonts w:hint="eastAsia" w:ascii="宋体" w:hAnsi="宋体" w:cs="宋体"/>
                <w:kern w:val="0"/>
                <w:szCs w:val="21"/>
              </w:rPr>
              <w:br w:type="textWrapping"/>
            </w:r>
            <w:r>
              <w:rPr>
                <w:rFonts w:hint="eastAsia" w:ascii="宋体" w:hAnsi="宋体" w:cs="宋体"/>
                <w:kern w:val="0"/>
                <w:szCs w:val="21"/>
              </w:rPr>
              <w:t>（4）阻燃性能检测：参照GB 8624-2012等标准，燃烧性等级达到B1级；水平燃烧符合HB级，垂直燃烧符合V-0级，烟气毒性等级符合t1级要求。</w:t>
            </w:r>
            <w:r>
              <w:rPr>
                <w:rFonts w:hint="eastAsia" w:ascii="宋体" w:hAnsi="宋体" w:cs="宋体"/>
                <w:kern w:val="0"/>
                <w:szCs w:val="21"/>
              </w:rPr>
              <w:br w:type="textWrapping"/>
            </w:r>
            <w:r>
              <w:rPr>
                <w:rFonts w:hint="eastAsia" w:ascii="宋体" w:hAnsi="宋体" w:cs="宋体"/>
                <w:kern w:val="0"/>
                <w:szCs w:val="21"/>
              </w:rPr>
              <w:t>（5）防霉性能检测：参照GB/T24128-2018或JC/T 2039-2010等标准，包含但不局限于：黑曲霉、土曲霉、球毛壳霉、宛氏拟青霉、绳状青霉、出芽短梗霉、长枝木霉等不少于7种的霉菌检测；</w:t>
            </w:r>
            <w:r>
              <w:rPr>
                <w:rFonts w:hint="eastAsia" w:ascii="宋体" w:hAnsi="宋体" w:cs="宋体"/>
                <w:kern w:val="0"/>
                <w:szCs w:val="21"/>
              </w:rPr>
              <w:br w:type="textWrapping"/>
            </w:r>
            <w:r>
              <w:rPr>
                <w:rFonts w:hint="eastAsia" w:ascii="宋体" w:hAnsi="宋体" w:cs="宋体"/>
                <w:kern w:val="0"/>
                <w:szCs w:val="21"/>
              </w:rPr>
              <w:t>（6）抗菌性能检测：包含但不局限于：大肠杆菌、金黄色葡萄球菌、肺炎克雷伯氏菌、鼠伤寒沙门氏菌、表皮葡萄球菌、铜绿假单胞菌、宋氏志贺氏菌、白色葡萄球菌、粪肠球菌、单核细胞增生李斯特氏菌、变异库克菌、甲型溶血性链球菌、白色念珠菌、肠沙门氏菌肠亚种等不少于14种的菌种检测,结果符合抗菌要求。</w:t>
            </w:r>
            <w:r>
              <w:rPr>
                <w:rFonts w:hint="eastAsia" w:ascii="宋体" w:hAnsi="宋体" w:cs="宋体"/>
                <w:kern w:val="0"/>
                <w:szCs w:val="21"/>
              </w:rPr>
              <w:br w:type="textWrapping"/>
            </w:r>
            <w:r>
              <w:rPr>
                <w:rFonts w:hint="eastAsia" w:ascii="宋体" w:hAnsi="宋体" w:cs="宋体"/>
                <w:kern w:val="0"/>
                <w:szCs w:val="21"/>
              </w:rPr>
              <w:t>（7）抗病毒活性试验：对H1N1、H3N2进行抗病毒活性试验，抗病毒活性率结果≥99.9%。</w:t>
            </w:r>
            <w:r>
              <w:rPr>
                <w:rFonts w:hint="eastAsia" w:ascii="宋体" w:hAnsi="宋体" w:cs="宋体"/>
                <w:kern w:val="0"/>
                <w:szCs w:val="21"/>
              </w:rPr>
              <w:br w:type="textWrapping"/>
            </w:r>
            <w:r>
              <w:rPr>
                <w:rFonts w:hint="eastAsia" w:ascii="宋体" w:hAnsi="宋体" w:cs="宋体"/>
                <w:kern w:val="0"/>
                <w:szCs w:val="21"/>
              </w:rPr>
              <w:t>3.台身用材：桌体结构为内槽式铝合金或材质框架结构,框架立柱：壁厚≥1.0mm、截面尺寸≥50mm×50mm棱角为椭圆形。横梁：壁厚≥0.8mm、截面尺寸≥40mm×40mm；铝型材槽表面经酸洗、磷化、环氧树脂高温固化处理具有耐腐蚀、耐高温等特点。</w:t>
            </w:r>
            <w:r>
              <w:rPr>
                <w:rFonts w:hint="eastAsia" w:ascii="宋体" w:hAnsi="宋体" w:cs="宋体"/>
                <w:kern w:val="0"/>
                <w:szCs w:val="21"/>
              </w:rPr>
              <w:br w:type="textWrapping"/>
            </w:r>
            <w:r>
              <w:rPr>
                <w:rFonts w:hint="eastAsia" w:ascii="宋体" w:hAnsi="宋体" w:cs="宋体"/>
                <w:kern w:val="0"/>
                <w:szCs w:val="21"/>
              </w:rPr>
              <w:t>4.柜身：背板及吊板采用厚度≥16mm的实验室专用三聚氰胺板制作；组装：接缝严密，连接牢固，无松动现象。连接件：ABS专用连接组装件；导轨：三节静音导轨。拉手：采用桥型铝合金拉手；铰链：采用不锈钢铰链；</w:t>
            </w:r>
            <w:r>
              <w:rPr>
                <w:rFonts w:hint="eastAsia" w:ascii="宋体" w:hAnsi="宋体" w:cs="宋体"/>
                <w:kern w:val="0"/>
                <w:szCs w:val="21"/>
              </w:rPr>
              <w:br w:type="textWrapping"/>
            </w:r>
            <w:r>
              <w:rPr>
                <w:rFonts w:hint="eastAsia" w:ascii="宋体" w:hAnsi="宋体" w:cs="宋体"/>
                <w:kern w:val="0"/>
                <w:szCs w:val="21"/>
              </w:rPr>
              <w:t>5.板材贴面：采用三聚氰胺板进行贴面。板材封边：可见截面均经过PVC封边，贴面和封边部件严密、平整，不出现脱胶、鼓泡、凹陷、压痕以及表面划伤、麻点、裂痕、崩角和刃口，外表的圆角、倒棱均匀一致。外露截面PVC边条厚度≥1.8mm，并进行倒角处理。</w:t>
            </w:r>
            <w:r>
              <w:rPr>
                <w:rFonts w:hint="eastAsia" w:ascii="宋体" w:hAnsi="宋体" w:cs="宋体"/>
                <w:kern w:val="0"/>
                <w:szCs w:val="21"/>
              </w:rPr>
              <w:br w:type="textWrapping"/>
            </w:r>
            <w:r>
              <w:rPr>
                <w:rFonts w:hint="eastAsia" w:ascii="宋体" w:hAnsi="宋体" w:cs="宋体"/>
                <w:kern w:val="0"/>
                <w:szCs w:val="21"/>
              </w:rPr>
              <w:t>6.台身设计：箱体预设电脑主机箱柜、视频展台柜、电源控制台、键盘托等；台身前部为开门设计；可调脚：采用模具成型PC＋ABS工程塑料合金注塑专用垫，高≥30mm，可暗藏固定，防止桌身受潮。</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教师椅</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规格：≥550×500×1070mm；采用PU皮面，海绵坐垫；PP加玻纤内外塑框；一体成型PP固定扶手；中靠背46-49cm，人体工程学设计；≥1.0mm厚汽杆；PP加纤五星塑脚；</w:t>
            </w:r>
            <w:r>
              <w:rPr>
                <w:rFonts w:ascii="宋体" w:hAnsi="宋体" w:cs="Calibri"/>
                <w:kern w:val="0"/>
                <w:szCs w:val="21"/>
              </w:rPr>
              <w:t>φ</w:t>
            </w:r>
            <w:r>
              <w:rPr>
                <w:rFonts w:hint="eastAsia" w:ascii="宋体" w:hAnsi="宋体" w:cs="宋体"/>
                <w:kern w:val="0"/>
                <w:szCs w:val="21"/>
              </w:rPr>
              <w:t>50mm（偏差±5%）尼龙万向轮；</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745" w:type="pct"/>
            <w:shd w:val="clear" w:color="auto" w:fill="auto"/>
            <w:vAlign w:val="center"/>
          </w:tcPr>
          <w:p>
            <w:pPr>
              <w:widowControl/>
              <w:jc w:val="center"/>
              <w:rPr>
                <w:rFonts w:ascii="宋体" w:hAnsi="宋体" w:cs="宋体"/>
                <w:color w:val="FF0000"/>
                <w:kern w:val="0"/>
                <w:szCs w:val="21"/>
              </w:rPr>
            </w:pPr>
            <w:r>
              <w:rPr>
                <w:rFonts w:hint="eastAsia" w:ascii="宋体" w:hAnsi="宋体" w:cs="宋体"/>
                <w:b w:val="0"/>
                <w:bCs w:val="0"/>
                <w:kern w:val="0"/>
                <w:szCs w:val="21"/>
              </w:rPr>
              <w:t xml:space="preserve">主控电源 </w:t>
            </w:r>
          </w:p>
        </w:tc>
        <w:tc>
          <w:tcPr>
            <w:tcW w:w="2956" w:type="pct"/>
            <w:shd w:val="clear" w:color="auto" w:fill="auto"/>
            <w:vAlign w:val="center"/>
          </w:tcPr>
          <w:p>
            <w:pPr>
              <w:widowControl/>
              <w:numPr>
                <w:ilvl w:val="0"/>
                <w:numId w:val="6"/>
              </w:numPr>
              <w:jc w:val="left"/>
              <w:rPr>
                <w:rFonts w:ascii="宋体" w:hAnsi="宋体" w:cs="宋体"/>
                <w:kern w:val="0"/>
                <w:szCs w:val="21"/>
              </w:rPr>
            </w:pPr>
            <w:r>
              <w:rPr>
                <w:rFonts w:hint="eastAsia" w:ascii="宋体" w:hAnsi="宋体" w:cs="宋体"/>
                <w:kern w:val="0"/>
                <w:szCs w:val="21"/>
              </w:rPr>
              <w:t>采用内嵌式≥4.3英寸全触摸液晶显示（偏差±5%），线路采用贴片机焊接，可人性化设置开机验证方式和定时关机时间，教师与学生数据传输采用有线或无线通信；教师自用不少于两路220V多功能插座输出；</w:t>
            </w:r>
            <w:r>
              <w:rPr>
                <w:rFonts w:hint="eastAsia" w:ascii="宋体" w:hAnsi="宋体" w:cs="宋体"/>
                <w:kern w:val="0"/>
                <w:szCs w:val="21"/>
              </w:rPr>
              <w:br w:type="textWrapping"/>
            </w:r>
            <w:r>
              <w:rPr>
                <w:rFonts w:hint="eastAsia" w:ascii="宋体" w:hAnsi="宋体" w:cs="宋体"/>
                <w:kern w:val="0"/>
                <w:szCs w:val="21"/>
              </w:rPr>
              <w:t>2.教师交流：支持通过触摸显示屏操作，0-30V交流电压，选取方式采用数控快捷方式，不得采用累计或步进式，电压分辨率为1V，具备过载自动保护及报警装置；</w:t>
            </w:r>
          </w:p>
          <w:p>
            <w:pPr>
              <w:widowControl/>
              <w:jc w:val="left"/>
              <w:rPr>
                <w:rFonts w:ascii="宋体" w:hAnsi="宋体" w:cs="宋体"/>
                <w:kern w:val="0"/>
                <w:szCs w:val="21"/>
              </w:rPr>
            </w:pPr>
            <w:r>
              <w:rPr>
                <w:rFonts w:hint="eastAsia" w:ascii="宋体" w:hAnsi="宋体" w:cs="宋体"/>
                <w:kern w:val="0"/>
                <w:szCs w:val="21"/>
              </w:rPr>
              <w:t>教师直流：支持通过触摸显示屏操作，0-30V直流电压，选取方式采用数控快捷方式，不得采用累计或步进式，电压分辨率为0.1V，具备过载自动保护及报警装置；</w:t>
            </w:r>
            <w:r>
              <w:rPr>
                <w:rFonts w:hint="eastAsia" w:ascii="宋体" w:hAnsi="宋体" w:cs="宋体"/>
                <w:kern w:val="0"/>
                <w:szCs w:val="21"/>
              </w:rPr>
              <w:br w:type="textWrapping"/>
            </w:r>
            <w:r>
              <w:rPr>
                <w:rFonts w:hint="eastAsia" w:ascii="宋体" w:hAnsi="宋体" w:cs="宋体"/>
                <w:kern w:val="0"/>
                <w:szCs w:val="21"/>
              </w:rPr>
              <w:t>3.学生交流：教师电源支持分组控制学生交流电压，控制范围为0-30V，分辨率为1V；</w:t>
            </w:r>
            <w:r>
              <w:rPr>
                <w:rFonts w:hint="eastAsia" w:ascii="宋体" w:hAnsi="宋体" w:cs="宋体"/>
                <w:kern w:val="0"/>
                <w:szCs w:val="21"/>
              </w:rPr>
              <w:br w:type="textWrapping"/>
            </w:r>
            <w:r>
              <w:rPr>
                <w:rFonts w:hint="eastAsia" w:ascii="宋体" w:hAnsi="宋体" w:cs="宋体"/>
                <w:kern w:val="0"/>
                <w:szCs w:val="21"/>
              </w:rPr>
              <w:t>学生直流：教师电源支持分组控制学生直流电压，控制范围为0-30V，分辨率为0.1V；</w:t>
            </w:r>
            <w:r>
              <w:rPr>
                <w:rFonts w:hint="eastAsia" w:ascii="宋体" w:hAnsi="宋体" w:cs="宋体"/>
                <w:kern w:val="0"/>
                <w:szCs w:val="21"/>
              </w:rPr>
              <w:br w:type="textWrapping"/>
            </w:r>
            <w:r>
              <w:rPr>
                <w:rFonts w:hint="eastAsia" w:ascii="宋体" w:hAnsi="宋体" w:cs="宋体"/>
                <w:kern w:val="0"/>
                <w:szCs w:val="21"/>
              </w:rPr>
              <w:t>学生高压：教师电源支持分组控制学生的高压220V电压，此电源与学生低压区分隔离，当高压关闭时学生低压仍可使用；</w:t>
            </w:r>
            <w:r>
              <w:rPr>
                <w:rFonts w:hint="eastAsia" w:ascii="宋体" w:hAnsi="宋体" w:cs="宋体"/>
                <w:kern w:val="0"/>
                <w:szCs w:val="21"/>
              </w:rPr>
              <w:br w:type="textWrapping"/>
            </w:r>
            <w:r>
              <w:rPr>
                <w:rFonts w:hint="eastAsia" w:ascii="宋体" w:hAnsi="宋体" w:cs="宋体"/>
                <w:kern w:val="0"/>
                <w:szCs w:val="21"/>
              </w:rPr>
              <w:t>4.锁定功能：教师端支持远程锁定学生电源低压交、直流电压；直流高压：输出240V或300V的高压，输出电流为100mA,具备过载保护功能；</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745" w:type="pct"/>
            <w:shd w:val="clear" w:color="auto" w:fill="auto"/>
            <w:vAlign w:val="center"/>
          </w:tcPr>
          <w:p>
            <w:pPr>
              <w:widowControl/>
              <w:jc w:val="center"/>
              <w:rPr>
                <w:rFonts w:ascii="宋体" w:hAnsi="宋体" w:cs="宋体"/>
                <w:b/>
                <w:bCs/>
                <w:kern w:val="0"/>
                <w:szCs w:val="21"/>
              </w:rPr>
            </w:pPr>
            <w:r>
              <w:rPr>
                <w:rFonts w:hint="eastAsia" w:ascii="宋体" w:hAnsi="宋体" w:cs="宋体"/>
                <w:b w:val="0"/>
                <w:bCs w:val="0"/>
                <w:kern w:val="0"/>
                <w:szCs w:val="21"/>
              </w:rPr>
              <w:t>学生实验桌</w:t>
            </w:r>
          </w:p>
        </w:tc>
        <w:tc>
          <w:tcPr>
            <w:tcW w:w="5825" w:type="dxa"/>
            <w:shd w:val="clear" w:color="auto" w:fill="auto"/>
            <w:vAlign w:val="center"/>
          </w:tcPr>
          <w:p>
            <w:pPr>
              <w:widowControl/>
              <w:numPr>
                <w:ilvl w:val="255"/>
                <w:numId w:val="0"/>
              </w:numPr>
              <w:jc w:val="left"/>
              <w:rPr>
                <w:rFonts w:ascii="宋体" w:hAnsi="宋体" w:cs="宋体"/>
                <w:b w:val="0"/>
                <w:bCs w:val="0"/>
                <w:kern w:val="0"/>
                <w:szCs w:val="21"/>
              </w:rPr>
            </w:pPr>
            <w:r>
              <w:rPr>
                <w:rFonts w:hint="eastAsia" w:ascii="宋体" w:hAnsi="宋体" w:cs="宋体"/>
                <w:kern w:val="0"/>
                <w:szCs w:val="21"/>
              </w:rPr>
              <w:t>1.规格：≥1500mm×1500mm×780mm，采用铝木结构；台面：选用厚度≥12.7mm实芯理化板，边缘加厚到≥25.4mm。具有耐酸碱、耐腐蚀、耐有机溶剂、抗菌、抗污染等性能；经过机械打磨、倒角、精细工艺处理，呈现光滑。</w:t>
            </w:r>
            <w:r>
              <w:rPr>
                <w:rFonts w:hint="eastAsia" w:ascii="宋体" w:hAnsi="宋体" w:cs="宋体"/>
                <w:kern w:val="0"/>
                <w:szCs w:val="21"/>
              </w:rPr>
              <w:br w:type="textWrapping"/>
            </w:r>
            <w:r>
              <w:rPr>
                <w:rFonts w:hint="eastAsia" w:ascii="宋体" w:hAnsi="宋体" w:cs="宋体"/>
                <w:b w:val="0"/>
                <w:bCs w:val="0"/>
                <w:kern w:val="0"/>
                <w:szCs w:val="21"/>
              </w:rPr>
              <w:t>#2.为确保使用者的健康安全，台面板需提供有效的第三方检测机构出具的检测报告复印件并加盖</w:t>
            </w:r>
            <w:r>
              <w:rPr>
                <w:rFonts w:hint="eastAsia" w:ascii="宋体" w:hAnsi="宋体" w:cs="宋体"/>
                <w:b w:val="0"/>
                <w:bCs w:val="0"/>
                <w:kern w:val="0"/>
                <w:szCs w:val="21"/>
                <w:lang w:val="en-US" w:eastAsia="zh-CN"/>
              </w:rPr>
              <w:t>制造</w:t>
            </w:r>
            <w:r>
              <w:rPr>
                <w:rFonts w:hint="eastAsia" w:ascii="宋体" w:hAnsi="宋体" w:cs="宋体"/>
                <w:b w:val="0"/>
                <w:bCs w:val="0"/>
                <w:kern w:val="0"/>
                <w:szCs w:val="21"/>
              </w:rPr>
              <w:t>商公章：</w:t>
            </w:r>
          </w:p>
          <w:p>
            <w:pPr>
              <w:widowControl/>
              <w:numPr>
                <w:ilvl w:val="255"/>
                <w:numId w:val="0"/>
              </w:numPr>
              <w:jc w:val="left"/>
              <w:rPr>
                <w:rFonts w:ascii="宋体" w:hAnsi="宋体" w:cs="宋体"/>
                <w:kern w:val="0"/>
                <w:szCs w:val="21"/>
              </w:rPr>
            </w:pPr>
            <w:r>
              <w:rPr>
                <w:rFonts w:hint="eastAsia" w:ascii="宋体" w:hAnsi="宋体" w:cs="宋体"/>
                <w:b w:val="0"/>
                <w:bCs w:val="0"/>
                <w:kern w:val="0"/>
                <w:szCs w:val="21"/>
              </w:rPr>
              <w:t>检测内容如下：</w:t>
            </w:r>
            <w:r>
              <w:rPr>
                <w:rFonts w:hint="eastAsia" w:ascii="宋体" w:hAnsi="宋体" w:cs="宋体"/>
                <w:kern w:val="0"/>
                <w:szCs w:val="21"/>
              </w:rPr>
              <w:br w:type="textWrapping"/>
            </w:r>
            <w:r>
              <w:rPr>
                <w:rFonts w:hint="eastAsia" w:ascii="宋体" w:hAnsi="宋体" w:cs="宋体"/>
                <w:kern w:val="0"/>
                <w:szCs w:val="21"/>
              </w:rPr>
              <w:t>（1）化学性能检测：通过硫酸（98%）、硝酸（65%）、氢氧化钠（40%）、四氯化碳、松节油、乙腈等不少于130项酸、碱及其它化学试剂的检测。</w:t>
            </w:r>
            <w:r>
              <w:rPr>
                <w:rFonts w:hint="eastAsia" w:ascii="宋体" w:hAnsi="宋体" w:cs="宋体"/>
                <w:kern w:val="0"/>
                <w:szCs w:val="21"/>
              </w:rPr>
              <w:br w:type="textWrapping"/>
            </w:r>
            <w:r>
              <w:rPr>
                <w:rFonts w:hint="eastAsia" w:ascii="宋体" w:hAnsi="宋体" w:cs="宋体"/>
                <w:kern w:val="0"/>
                <w:szCs w:val="21"/>
              </w:rPr>
              <w:t>（2）环保性能检测：参照GB18585-2001或GB18586-2001等标准，重金属铅、镉等未检出。</w:t>
            </w:r>
            <w:r>
              <w:rPr>
                <w:rFonts w:hint="eastAsia" w:ascii="宋体" w:hAnsi="宋体" w:cs="宋体"/>
                <w:kern w:val="0"/>
                <w:szCs w:val="21"/>
              </w:rPr>
              <w:br w:type="textWrapping"/>
            </w:r>
            <w:r>
              <w:rPr>
                <w:rFonts w:hint="eastAsia" w:ascii="宋体" w:hAnsi="宋体" w:cs="宋体"/>
                <w:kern w:val="0"/>
                <w:szCs w:val="21"/>
              </w:rPr>
              <w:t>（3）物理性能检测：包含：含水率：≤1.0；漆膜附着力：切割边缘完全平滑，无脱落；漆膜硬度≥8H；表面耐冷热循环性能（80℃）：无裂纹、鼓泡、变色、起皱；密度达到1.4g/cm³；尺寸稳定性横向、纵向≤0.55%；表面耐龟裂性：5级，用6倍放大镜观察表面无裂纹；24h吸水率≤0.1%；表面耐磨性能检验结果≥566r；弯曲强度≥120MPa以上等不少于19项物理性能检测。</w:t>
            </w:r>
            <w:r>
              <w:rPr>
                <w:rFonts w:hint="eastAsia" w:ascii="宋体" w:hAnsi="宋体" w:cs="宋体"/>
                <w:kern w:val="0"/>
                <w:szCs w:val="21"/>
              </w:rPr>
              <w:br w:type="textWrapping"/>
            </w:r>
            <w:r>
              <w:rPr>
                <w:rFonts w:hint="eastAsia" w:ascii="宋体" w:hAnsi="宋体" w:cs="宋体"/>
                <w:kern w:val="0"/>
                <w:szCs w:val="21"/>
              </w:rPr>
              <w:t>（4）阻燃性能检测：参照GB 8624-2012等标准，燃烧性等级达到B1级；水平燃烧符合HB级，垂直燃烧符合V-0级，烟气毒性等级符合t1级要求。</w:t>
            </w:r>
            <w:r>
              <w:rPr>
                <w:rFonts w:hint="eastAsia" w:ascii="宋体" w:hAnsi="宋体" w:cs="宋体"/>
                <w:kern w:val="0"/>
                <w:szCs w:val="21"/>
              </w:rPr>
              <w:br w:type="textWrapping"/>
            </w:r>
            <w:r>
              <w:rPr>
                <w:rFonts w:hint="eastAsia" w:ascii="宋体" w:hAnsi="宋体" w:cs="宋体"/>
                <w:kern w:val="0"/>
                <w:szCs w:val="21"/>
              </w:rPr>
              <w:t>（5）TVOC释放量检测：参照HJ571-2010等标准，总挥发性有机化合物TVOC（72h）释放量为≤0.02[mg/（㎡·h）]。</w:t>
            </w:r>
            <w:r>
              <w:rPr>
                <w:rFonts w:hint="eastAsia" w:ascii="宋体" w:hAnsi="宋体" w:cs="宋体"/>
                <w:kern w:val="0"/>
                <w:szCs w:val="21"/>
              </w:rPr>
              <w:br w:type="textWrapping"/>
            </w:r>
            <w:r>
              <w:rPr>
                <w:rFonts w:hint="eastAsia" w:ascii="宋体" w:hAnsi="宋体" w:cs="宋体"/>
                <w:kern w:val="0"/>
                <w:szCs w:val="21"/>
              </w:rPr>
              <w:t>（6）放射性检测：参照GB6566-2010等标准，内、外照射检测值均≤0.1。</w:t>
            </w:r>
            <w:r>
              <w:rPr>
                <w:rFonts w:hint="eastAsia" w:ascii="宋体" w:hAnsi="宋体" w:cs="宋体"/>
                <w:kern w:val="0"/>
                <w:szCs w:val="21"/>
              </w:rPr>
              <w:br w:type="textWrapping"/>
            </w:r>
            <w:r>
              <w:rPr>
                <w:rFonts w:hint="eastAsia" w:ascii="宋体" w:hAnsi="宋体" w:cs="宋体"/>
                <w:kern w:val="0"/>
                <w:szCs w:val="21"/>
              </w:rPr>
              <w:t>（7）防霉性能检测：参照GB/T24128-2018或JC/T 2039-2010等标准，包含但不限于：黑曲霉、土曲霉、球毛壳霉、宛氏拟青霉、绳状青霉、出芽短梗霉、长枝木霉等不少于7种的霉菌检测。</w:t>
            </w:r>
            <w:r>
              <w:rPr>
                <w:rFonts w:hint="eastAsia" w:ascii="宋体" w:hAnsi="宋体" w:cs="宋体"/>
                <w:kern w:val="0"/>
                <w:szCs w:val="21"/>
              </w:rPr>
              <w:br w:type="textWrapping"/>
            </w:r>
            <w:r>
              <w:rPr>
                <w:rFonts w:hint="eastAsia" w:ascii="宋体" w:hAnsi="宋体" w:cs="宋体"/>
                <w:kern w:val="0"/>
                <w:szCs w:val="21"/>
              </w:rPr>
              <w:t>（8）抗菌性能检测：包含但不限于：大肠杆菌、金黄色葡萄球菌、肺炎克雷伯氏菌、鼠伤寒沙门氏菌、表皮葡萄球菌、铜绿假单胞菌、宋氏志贺氏菌、白色葡萄球菌、粪肠球菌、枯草芽孢杆菌、变异库克菌、甲型溶血性链球菌、白色念珠菌、肠沙门氏菌肠亚种等不少于14种菌种检测，结果符合抗菌要求。</w:t>
            </w:r>
            <w:r>
              <w:rPr>
                <w:rFonts w:hint="eastAsia" w:ascii="宋体" w:hAnsi="宋体" w:cs="宋体"/>
                <w:kern w:val="0"/>
                <w:szCs w:val="21"/>
              </w:rPr>
              <w:br w:type="textWrapping"/>
            </w:r>
            <w:r>
              <w:rPr>
                <w:rFonts w:hint="eastAsia" w:ascii="宋体" w:hAnsi="宋体" w:cs="宋体"/>
                <w:kern w:val="0"/>
                <w:szCs w:val="21"/>
              </w:rPr>
              <w:t>3.台身用材：桌体结构为内槽式铝合金或更优材质框架结构,框架立柱：壁厚≥1.0mm、截面尺寸≥50mm×50mm，棱角为椭圆形。横梁：壁厚≥0.8mm、截面尺寸≥40mm×40mm；铝型材槽表面经酸洗、磷化、环氧树脂高温固化处理具有耐腐蚀、耐高温等特点。</w:t>
            </w:r>
            <w:r>
              <w:rPr>
                <w:rFonts w:hint="eastAsia" w:ascii="宋体" w:hAnsi="宋体" w:cs="宋体"/>
                <w:kern w:val="0"/>
                <w:szCs w:val="21"/>
              </w:rPr>
              <w:br w:type="textWrapping"/>
            </w:r>
            <w:r>
              <w:rPr>
                <w:rFonts w:hint="eastAsia" w:ascii="宋体" w:hAnsi="宋体" w:cs="宋体"/>
                <w:kern w:val="0"/>
                <w:szCs w:val="21"/>
              </w:rPr>
              <w:t>4.桌体：采用厚度≥16mm的实验室专用三聚氰胺板制作。组装：接缝严密，连接牢固，无松动现象。连接件：ABS专用连接组装件；</w:t>
            </w:r>
          </w:p>
          <w:p>
            <w:pPr>
              <w:widowControl/>
              <w:numPr>
                <w:ilvl w:val="255"/>
                <w:numId w:val="0"/>
              </w:numPr>
              <w:jc w:val="left"/>
              <w:rPr>
                <w:rFonts w:ascii="宋体" w:hAnsi="宋体" w:cs="宋体"/>
                <w:kern w:val="0"/>
                <w:szCs w:val="21"/>
              </w:rPr>
            </w:pPr>
            <w:r>
              <w:rPr>
                <w:rFonts w:hint="eastAsia" w:ascii="宋体" w:hAnsi="宋体" w:cs="宋体"/>
                <w:kern w:val="0"/>
                <w:szCs w:val="21"/>
              </w:rPr>
              <w:t>5.板材贴面：采用三聚氰胺板进行贴面。板材封边：可见截面均经过PVC封边，贴面和封边部件严密、平整，不出现脱胶、鼓泡、凹陷、压痕以及表面划伤、麻点、裂痕、崩角和刃口，外表的圆角、倒棱均匀一致。外露截面PVC边条厚度≥2mm，并进行倒角处理。</w:t>
            </w:r>
            <w:r>
              <w:rPr>
                <w:rFonts w:hint="eastAsia" w:ascii="宋体" w:hAnsi="宋体" w:cs="宋体"/>
                <w:kern w:val="0"/>
                <w:szCs w:val="21"/>
              </w:rPr>
              <w:br w:type="textWrapping"/>
            </w:r>
            <w:r>
              <w:rPr>
                <w:rFonts w:hint="eastAsia" w:ascii="宋体" w:hAnsi="宋体" w:cs="宋体"/>
                <w:kern w:val="0"/>
                <w:szCs w:val="21"/>
              </w:rPr>
              <w:t>6.台身设计：设有学生书包斗。可调脚：采用模具成型PC＋ABS工程塑料合金注塑专用垫，高≥30mm，可暗藏固定，防止桌身受潮。</w:t>
            </w:r>
            <w:r>
              <w:rPr>
                <w:rFonts w:hint="eastAsia" w:ascii="宋体" w:hAnsi="宋体" w:cs="宋体"/>
                <w:kern w:val="0"/>
                <w:szCs w:val="21"/>
              </w:rPr>
              <w:br w:type="textWrapping"/>
            </w:r>
            <w:r>
              <w:rPr>
                <w:rFonts w:hint="eastAsia" w:ascii="宋体" w:hAnsi="宋体" w:cs="宋体"/>
                <w:b w:val="0"/>
                <w:bCs w:val="0"/>
                <w:kern w:val="0"/>
                <w:szCs w:val="21"/>
              </w:rPr>
              <w:t>#7.实验桌产品需至少满足以下要求：</w:t>
            </w:r>
            <w:r>
              <w:rPr>
                <w:rFonts w:hint="eastAsia" w:ascii="宋体" w:hAnsi="宋体" w:cs="宋体"/>
                <w:kern w:val="0"/>
                <w:szCs w:val="21"/>
              </w:rPr>
              <w:br w:type="textWrapping"/>
            </w:r>
            <w:r>
              <w:rPr>
                <w:rFonts w:hint="eastAsia" w:ascii="宋体" w:hAnsi="宋体" w:cs="宋体"/>
                <w:kern w:val="0"/>
                <w:szCs w:val="21"/>
              </w:rPr>
              <w:t>1）外观要求：操作台面无裂缝，无污物、杂质；</w:t>
            </w:r>
            <w:r>
              <w:rPr>
                <w:rFonts w:hint="eastAsia" w:ascii="宋体" w:hAnsi="宋体" w:cs="宋体"/>
                <w:kern w:val="0"/>
                <w:szCs w:val="21"/>
              </w:rPr>
              <w:br w:type="textWrapping"/>
            </w:r>
            <w:r>
              <w:rPr>
                <w:rFonts w:hint="eastAsia" w:ascii="宋体" w:hAnsi="宋体" w:cs="宋体"/>
                <w:kern w:val="0"/>
                <w:szCs w:val="21"/>
              </w:rPr>
              <w:t>2）安全性要求：与人体接触的零部件无毛刺、刃口、尖锐的棱角和端头；</w:t>
            </w:r>
            <w:r>
              <w:rPr>
                <w:rFonts w:hint="eastAsia" w:ascii="宋体" w:hAnsi="宋体" w:cs="宋体"/>
                <w:kern w:val="0"/>
                <w:szCs w:val="21"/>
              </w:rPr>
              <w:br w:type="textWrapping"/>
            </w:r>
            <w:r>
              <w:rPr>
                <w:rFonts w:hint="eastAsia" w:ascii="宋体" w:hAnsi="宋体" w:cs="宋体"/>
                <w:kern w:val="0"/>
                <w:szCs w:val="21"/>
              </w:rPr>
              <w:t>3）操作台力学性能：独立操作台垂直加载稳定性试验无倾翻，无损坏；</w:t>
            </w:r>
            <w:r>
              <w:rPr>
                <w:rFonts w:hint="eastAsia" w:ascii="宋体" w:hAnsi="宋体" w:cs="宋体"/>
                <w:kern w:val="0"/>
                <w:szCs w:val="21"/>
              </w:rPr>
              <w:br w:type="textWrapping"/>
            </w:r>
            <w:r>
              <w:rPr>
                <w:rFonts w:hint="eastAsia" w:ascii="宋体" w:hAnsi="宋体" w:cs="宋体"/>
                <w:kern w:val="0"/>
                <w:szCs w:val="21"/>
              </w:rPr>
              <w:t>4）操作台台面理化性能：耐冷热循环：无裂纹、鼓泡、起皱和无明显变色；</w:t>
            </w:r>
            <w:r>
              <w:rPr>
                <w:rFonts w:hint="eastAsia" w:ascii="宋体" w:hAnsi="宋体" w:cs="宋体"/>
                <w:kern w:val="0"/>
                <w:szCs w:val="21"/>
              </w:rPr>
              <w:br w:type="textWrapping"/>
            </w:r>
            <w:r>
              <w:rPr>
                <w:rFonts w:hint="eastAsia" w:ascii="宋体" w:hAnsi="宋体" w:cs="宋体"/>
                <w:kern w:val="0"/>
                <w:szCs w:val="21"/>
              </w:rPr>
              <w:t>5）阻燃性：台面材料氧指数≥40%。</w:t>
            </w:r>
            <w:r>
              <w:rPr>
                <w:rFonts w:hint="eastAsia" w:ascii="宋体" w:hAnsi="宋体" w:cs="宋体"/>
                <w:kern w:val="0"/>
                <w:szCs w:val="21"/>
              </w:rPr>
              <w:br w:type="textWrapping"/>
            </w:r>
            <w:r>
              <w:rPr>
                <w:rFonts w:hint="eastAsia" w:ascii="宋体" w:hAnsi="宋体" w:cs="宋体"/>
                <w:b w:val="0"/>
                <w:bCs w:val="0"/>
                <w:kern w:val="0"/>
                <w:szCs w:val="21"/>
              </w:rPr>
              <w:t>以上5项要求参照GB 24820-2009《实验室家具通用技术条件》或同类别国家标准，供应商需提供有效的第三方检测机构出具的检测报告复印件加盖</w:t>
            </w:r>
            <w:r>
              <w:rPr>
                <w:rFonts w:hint="eastAsia" w:ascii="宋体" w:hAnsi="宋体" w:cs="宋体"/>
                <w:b w:val="0"/>
                <w:bCs w:val="0"/>
                <w:kern w:val="0"/>
                <w:szCs w:val="21"/>
                <w:lang w:val="en-US" w:eastAsia="zh-CN"/>
              </w:rPr>
              <w:t>制造</w:t>
            </w:r>
            <w:r>
              <w:rPr>
                <w:rFonts w:hint="eastAsia" w:ascii="宋体" w:hAnsi="宋体" w:cs="宋体"/>
                <w:b w:val="0"/>
                <w:bCs w:val="0"/>
                <w:kern w:val="0"/>
                <w:szCs w:val="21"/>
              </w:rPr>
              <w:t>商公章。</w:t>
            </w:r>
          </w:p>
        </w:tc>
        <w:tc>
          <w:tcPr>
            <w:tcW w:w="4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张</w:t>
            </w:r>
          </w:p>
        </w:tc>
        <w:tc>
          <w:tcPr>
            <w:tcW w:w="44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745" w:type="pct"/>
            <w:shd w:val="clear" w:color="auto" w:fill="auto"/>
            <w:vAlign w:val="center"/>
          </w:tcPr>
          <w:p>
            <w:pPr>
              <w:widowControl/>
              <w:jc w:val="center"/>
              <w:rPr>
                <w:rFonts w:ascii="宋体" w:hAnsi="宋体" w:cs="宋体"/>
                <w:color w:val="FF0000"/>
                <w:kern w:val="0"/>
                <w:szCs w:val="21"/>
              </w:rPr>
            </w:pPr>
            <w:r>
              <w:rPr>
                <w:rFonts w:hint="eastAsia" w:ascii="宋体" w:hAnsi="宋体" w:cs="宋体"/>
                <w:kern w:val="0"/>
                <w:szCs w:val="21"/>
              </w:rPr>
              <w:t>学生电源</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≥2路交流220V电压输出,额定电流5A。</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学生凳</w:t>
            </w:r>
          </w:p>
        </w:tc>
        <w:tc>
          <w:tcPr>
            <w:tcW w:w="582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1.规格：≥</w:t>
            </w:r>
            <w:r>
              <w:rPr>
                <w:rFonts w:ascii="宋体" w:hAnsi="宋体" w:cs="Calibri"/>
                <w:kern w:val="0"/>
                <w:szCs w:val="21"/>
              </w:rPr>
              <w:t>φ</w:t>
            </w:r>
            <w:r>
              <w:rPr>
                <w:rFonts w:hint="eastAsia" w:ascii="宋体" w:hAnsi="宋体" w:cs="宋体"/>
                <w:kern w:val="0"/>
                <w:szCs w:val="21"/>
              </w:rPr>
              <w:t>300mm×440mm；凳面：采用ABS环保材质一体注塑成型，防摔耐磨。人体工程学设计，中间有内弧成型，深度≥8mm。</w:t>
            </w:r>
            <w:r>
              <w:rPr>
                <w:rFonts w:hint="eastAsia" w:ascii="宋体" w:hAnsi="宋体" w:cs="宋体"/>
                <w:kern w:val="0"/>
                <w:szCs w:val="21"/>
              </w:rPr>
              <w:br w:type="textWrapping"/>
            </w:r>
            <w:r>
              <w:rPr>
                <w:rFonts w:hint="eastAsia" w:ascii="宋体" w:hAnsi="宋体" w:cs="宋体"/>
                <w:kern w:val="0"/>
                <w:szCs w:val="21"/>
              </w:rPr>
              <w:t>2.升降式螺杆：直径≥20mm螺纹碳钢或更优材质，钢制托盘于凳面底部固定，钢板厚度≥2mm。支持调节凳子高度，升降≥50mm。</w:t>
            </w:r>
            <w:r>
              <w:rPr>
                <w:rFonts w:hint="eastAsia" w:ascii="宋体" w:hAnsi="宋体" w:cs="宋体"/>
                <w:kern w:val="0"/>
                <w:szCs w:val="21"/>
              </w:rPr>
              <w:br w:type="textWrapping"/>
            </w:r>
            <w:r>
              <w:rPr>
                <w:rFonts w:hint="eastAsia" w:ascii="宋体" w:hAnsi="宋体" w:cs="宋体"/>
                <w:kern w:val="0"/>
                <w:szCs w:val="21"/>
              </w:rPr>
              <w:t>3.钢脚架：由壁厚≥1.2mm椭圆形钢管及壁厚≥2mm圆钢管焊接组成，表面经高温烤漆处理。脚垫：塑胶材质，采用PP加纤维制实心一体注塑成型，防水防滑。</w:t>
            </w:r>
            <w:r>
              <w:rPr>
                <w:rFonts w:hint="eastAsia" w:ascii="宋体" w:hAnsi="宋体" w:cs="宋体"/>
                <w:kern w:val="0"/>
                <w:szCs w:val="21"/>
              </w:rPr>
              <w:br w:type="textWrapping"/>
            </w:r>
            <w:r>
              <w:rPr>
                <w:rFonts w:hint="eastAsia" w:ascii="宋体" w:hAnsi="宋体" w:cs="宋体"/>
                <w:b w:val="0"/>
                <w:bCs w:val="0"/>
                <w:color w:val="000000"/>
                <w:kern w:val="0"/>
                <w:szCs w:val="21"/>
                <w:lang w:bidi="ar"/>
              </w:rPr>
              <w:t>#</w:t>
            </w:r>
            <w:r>
              <w:rPr>
                <w:rFonts w:hint="eastAsia" w:ascii="宋体" w:hAnsi="宋体" w:cs="宋体"/>
                <w:b w:val="0"/>
                <w:bCs w:val="0"/>
                <w:kern w:val="0"/>
                <w:szCs w:val="21"/>
              </w:rPr>
              <w:t>4.学生凳产品需至少满足以下要求：</w:t>
            </w:r>
            <w:r>
              <w:rPr>
                <w:rFonts w:hint="eastAsia" w:ascii="宋体" w:hAnsi="宋体" w:cs="宋体"/>
                <w:kern w:val="0"/>
                <w:szCs w:val="21"/>
              </w:rPr>
              <w:br w:type="textWrapping"/>
            </w:r>
            <w:r>
              <w:rPr>
                <w:rFonts w:hint="eastAsia" w:ascii="宋体" w:hAnsi="宋体" w:cs="宋体"/>
                <w:kern w:val="0"/>
                <w:szCs w:val="21"/>
              </w:rPr>
              <w:t>1）外观性能要求：①金属件管材无裂缝、叠缝；②焊接处无脱焊、虚焊、焊穿、错位，无夹渣、气孔、焊瘤、焊丝头、咬边、飞溅，表面波纹均匀；③金属件冲压件无脱层、裂缝；④金属件皱纹或波纹圆管和扁线管弯曲处弧形圆滑一致；⑤金属件喷涂层无漏喷、锈蚀和脱色、掉色现象，无流挂、疙瘩、皱皮、飞漆等缺陷；⑥塑料件无裂纹、无明显变形，无明显缩孔、气泡、杂质、伤痕，外表用塑料件表面光洁、无划痕、无污渍、无明显色差；</w:t>
            </w:r>
            <w:r>
              <w:rPr>
                <w:rFonts w:hint="eastAsia" w:ascii="宋体" w:hAnsi="宋体" w:cs="宋体"/>
                <w:kern w:val="0"/>
                <w:szCs w:val="21"/>
              </w:rPr>
              <w:br w:type="textWrapping"/>
            </w:r>
            <w:r>
              <w:rPr>
                <w:rFonts w:hint="eastAsia" w:ascii="宋体" w:hAnsi="宋体" w:cs="宋体"/>
                <w:kern w:val="0"/>
                <w:szCs w:val="21"/>
              </w:rPr>
              <w:t>2）有害物质限量：4种重金属含量（限色漆）mg/kg（可溶性铅≤9.0、镉≤0.3、铬≤12、汞≤0.3）；</w:t>
            </w:r>
            <w:r>
              <w:rPr>
                <w:rFonts w:hint="eastAsia" w:ascii="宋体" w:hAnsi="宋体" w:cs="宋体"/>
                <w:kern w:val="0"/>
                <w:szCs w:val="21"/>
              </w:rPr>
              <w:br w:type="textWrapping"/>
            </w:r>
            <w:r>
              <w:rPr>
                <w:rFonts w:hint="eastAsia" w:ascii="宋体" w:hAnsi="宋体" w:cs="宋体"/>
                <w:kern w:val="0"/>
                <w:szCs w:val="21"/>
              </w:rPr>
              <w:t>3）安全性能要求：①人体接触或收藏物品部位无毛刺、刃口、棱角；②固定部位结合牢固，无松动、少件、透钉、漏钉；</w:t>
            </w:r>
            <w:r>
              <w:rPr>
                <w:rFonts w:hint="eastAsia" w:ascii="宋体" w:hAnsi="宋体" w:cs="宋体"/>
                <w:kern w:val="0"/>
                <w:szCs w:val="21"/>
              </w:rPr>
              <w:br w:type="textWrapping"/>
            </w:r>
            <w:r>
              <w:rPr>
                <w:rFonts w:hint="eastAsia" w:ascii="宋体" w:hAnsi="宋体" w:cs="宋体"/>
                <w:kern w:val="0"/>
                <w:szCs w:val="21"/>
              </w:rPr>
              <w:t>4）理化性能要求：金属喷漆（塑）涂层耐腐蚀性：100h内，在溶液中样板上划道两侧3mm以外，无鼓泡产生；100h后，划道两侧3mm以外，无锈迹、剥落、起皱、变色和失光等现象；附着力不低于2级；硬度≥2H；冲击高度400mm，无剥落、裂纹、皱纹；</w:t>
            </w:r>
            <w:r>
              <w:rPr>
                <w:rFonts w:hint="eastAsia" w:ascii="宋体" w:hAnsi="宋体" w:cs="宋体"/>
                <w:kern w:val="0"/>
                <w:szCs w:val="21"/>
              </w:rPr>
              <w:br w:type="textWrapping"/>
            </w:r>
            <w:r>
              <w:rPr>
                <w:rFonts w:hint="eastAsia" w:ascii="宋体" w:hAnsi="宋体" w:cs="宋体"/>
                <w:kern w:val="0"/>
                <w:szCs w:val="21"/>
              </w:rPr>
              <w:t>5）座面静载荷试验、椅腿前向静载荷试验、座面冲击试验、座面耐久性试验，结果均无损；</w:t>
            </w:r>
            <w:r>
              <w:rPr>
                <w:rFonts w:hint="eastAsia" w:ascii="宋体" w:hAnsi="宋体" w:cs="宋体"/>
                <w:kern w:val="0"/>
                <w:szCs w:val="21"/>
              </w:rPr>
              <w:br w:type="textWrapping"/>
            </w:r>
            <w:r>
              <w:rPr>
                <w:rFonts w:hint="eastAsia" w:ascii="宋体" w:hAnsi="宋体" w:cs="宋体"/>
                <w:kern w:val="0"/>
                <w:szCs w:val="21"/>
              </w:rPr>
              <w:t>6）稳定性：凳子任意方向无倾翻。</w:t>
            </w:r>
            <w:r>
              <w:rPr>
                <w:rFonts w:hint="eastAsia" w:ascii="宋体" w:hAnsi="宋体" w:cs="宋体"/>
                <w:kern w:val="0"/>
                <w:szCs w:val="21"/>
              </w:rPr>
              <w:br w:type="textWrapping"/>
            </w:r>
            <w:r>
              <w:rPr>
                <w:rFonts w:hint="eastAsia" w:ascii="宋体" w:hAnsi="宋体" w:cs="宋体"/>
                <w:b w:val="0"/>
                <w:bCs w:val="0"/>
                <w:kern w:val="0"/>
                <w:szCs w:val="21"/>
              </w:rPr>
              <w:t>以上6项参照GB /T 3325-2017 《金属家具通用技术条件》或同类别国家标准，供应商需提供有效的的第三方检测机构出具的检测报告复印件加盖</w:t>
            </w:r>
            <w:r>
              <w:rPr>
                <w:rFonts w:hint="eastAsia" w:ascii="宋体" w:hAnsi="宋体" w:cs="宋体"/>
                <w:b w:val="0"/>
                <w:bCs w:val="0"/>
                <w:kern w:val="0"/>
                <w:szCs w:val="21"/>
                <w:lang w:val="en-US" w:eastAsia="zh-CN"/>
              </w:rPr>
              <w:t>制造</w:t>
            </w:r>
            <w:r>
              <w:rPr>
                <w:rFonts w:hint="eastAsia" w:ascii="宋体" w:hAnsi="宋体" w:cs="宋体"/>
                <w:b w:val="0"/>
                <w:bCs w:val="0"/>
                <w:kern w:val="0"/>
                <w:szCs w:val="21"/>
              </w:rPr>
              <w:t>商公章。</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布线系统</w:t>
            </w:r>
          </w:p>
        </w:tc>
        <w:tc>
          <w:tcPr>
            <w:tcW w:w="2956" w:type="pct"/>
            <w:shd w:val="clear" w:color="auto" w:fill="auto"/>
            <w:vAlign w:val="center"/>
          </w:tcPr>
          <w:p>
            <w:pPr>
              <w:widowControl/>
              <w:rPr>
                <w:rFonts w:ascii="宋体" w:hAnsi="宋体" w:cs="宋体"/>
                <w:kern w:val="0"/>
                <w:szCs w:val="21"/>
              </w:rPr>
            </w:pPr>
            <w:r>
              <w:rPr>
                <w:rFonts w:hint="eastAsia" w:ascii="宋体" w:hAnsi="宋体" w:cs="宋体"/>
                <w:kern w:val="0"/>
                <w:szCs w:val="21"/>
              </w:rPr>
              <w:t xml:space="preserve">地面耗材：每桌取电连接线1.5mm²软铜质电线对接至主线2.5mm²，每桌取电连接线采用合理规格线管。 </w:t>
            </w:r>
            <w:r>
              <w:rPr>
                <w:rFonts w:hint="eastAsia" w:ascii="宋体" w:hAnsi="宋体" w:cs="宋体"/>
                <w:kern w:val="0"/>
                <w:szCs w:val="21"/>
              </w:rPr>
              <w:br w:type="textWrapping"/>
            </w:r>
            <w:r>
              <w:rPr>
                <w:rFonts w:hint="eastAsia" w:ascii="宋体" w:hAnsi="宋体" w:cs="宋体"/>
                <w:kern w:val="0"/>
                <w:szCs w:val="21"/>
              </w:rPr>
              <w:t>地下耗材：电源主线采用2.5mm²BVR铜软线铺设；选用</w:t>
            </w:r>
            <w:r>
              <w:rPr>
                <w:rFonts w:ascii="宋体" w:hAnsi="宋体" w:cs="Calibri"/>
                <w:kern w:val="0"/>
                <w:szCs w:val="21"/>
              </w:rPr>
              <w:t>Ф</w:t>
            </w:r>
            <w:r>
              <w:rPr>
                <w:rFonts w:hint="eastAsia" w:ascii="宋体" w:hAnsi="宋体" w:cs="宋体"/>
                <w:kern w:val="0"/>
                <w:szCs w:val="21"/>
              </w:rPr>
              <w:t>20或</w:t>
            </w:r>
            <w:r>
              <w:rPr>
                <w:rFonts w:ascii="宋体" w:hAnsi="宋体" w:cs="Calibri"/>
                <w:kern w:val="0"/>
                <w:szCs w:val="21"/>
              </w:rPr>
              <w:t>Ф</w:t>
            </w:r>
            <w:r>
              <w:rPr>
                <w:rFonts w:hint="eastAsia" w:ascii="宋体" w:hAnsi="宋体" w:cs="宋体"/>
                <w:kern w:val="0"/>
                <w:szCs w:val="21"/>
              </w:rPr>
              <w:t>25PVC阻燃线管</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shd w:val="clear" w:color="auto" w:fill="auto"/>
            <w:vAlign w:val="center"/>
          </w:tcPr>
          <w:p>
            <w:pPr>
              <w:widowControl/>
              <w:jc w:val="left"/>
              <w:rPr>
                <w:rFonts w:ascii="宋体" w:hAnsi="宋体" w:cs="宋体"/>
                <w:kern w:val="0"/>
                <w:szCs w:val="21"/>
              </w:rPr>
            </w:pPr>
            <w:r>
              <w:rPr>
                <w:rFonts w:hint="eastAsia" w:ascii="宋体" w:hAnsi="宋体" w:cs="宋体"/>
                <w:b/>
                <w:bCs/>
                <w:kern w:val="0"/>
                <w:szCs w:val="21"/>
              </w:rPr>
              <w:t>二、金木工教室</w:t>
            </w: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学生凳</w:t>
            </w:r>
          </w:p>
        </w:tc>
        <w:tc>
          <w:tcPr>
            <w:tcW w:w="582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规格：≥φ300mm×440mm。凳面：采用ABS环保材质一体注塑成型，防摔耐磨。人体工程学设计，中间有内弧成型，深度≥8mm；升降式螺杆：直径≥20mm螺纹碳钢或更优材质，钢制托盘于凳面底部固定，钢板厚度≥2mm。支持调节凳子高度，升降≥50mm；钢脚架：由壁厚≥1.2mm椭圆形钢管及壁厚≥2mm圆钢管焊接组成，表面经高温烤漆处理。脚垫：塑胶材质，采用PP加纤维制实心一体注塑成型，防水防滑。</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c>
          <w:tcPr>
            <w:tcW w:w="44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shd w:val="clear" w:color="auto" w:fill="auto"/>
            <w:vAlign w:val="center"/>
          </w:tcPr>
          <w:p>
            <w:pPr>
              <w:widowControl/>
              <w:jc w:val="left"/>
              <w:rPr>
                <w:rFonts w:ascii="宋体" w:hAnsi="宋体" w:cs="宋体"/>
                <w:kern w:val="0"/>
                <w:szCs w:val="21"/>
              </w:rPr>
            </w:pPr>
            <w:r>
              <w:rPr>
                <w:rFonts w:hint="eastAsia" w:ascii="宋体" w:hAnsi="宋体" w:cs="宋体"/>
                <w:b/>
                <w:bCs/>
                <w:kern w:val="0"/>
                <w:szCs w:val="21"/>
              </w:rPr>
              <w:t>三、书法美术室</w:t>
            </w: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教师书法美术桌、凳</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b/>
                <w:bCs/>
                <w:kern w:val="0"/>
                <w:szCs w:val="21"/>
              </w:rPr>
              <w:t>一、书法美术桌</w:t>
            </w:r>
            <w:r>
              <w:rPr>
                <w:rFonts w:hint="eastAsia" w:ascii="宋体" w:hAnsi="宋体" w:cs="宋体"/>
                <w:kern w:val="0"/>
                <w:szCs w:val="21"/>
              </w:rPr>
              <w:br w:type="textWrapping"/>
            </w:r>
            <w:r>
              <w:rPr>
                <w:rFonts w:hint="eastAsia" w:ascii="宋体" w:hAnsi="宋体" w:cs="宋体"/>
                <w:kern w:val="0"/>
                <w:szCs w:val="21"/>
              </w:rPr>
              <w:t>规格：≥1800×800×750mm；实木材质：厚度≥36mm，桌腿采用横截面为30×60mm±10mm的木材,马鞍造型，木材经烘干处理，含水率≤12%.防虫防蛀，榫卯结构，整体架构结实牢固。漆面光滑，纹路清晰。颜色可定制。带水柜，方便走线，带背板，桌底部有隔层。桌表面有空余位置，可以放置笔架、砚台、镇纸、笔搁等物品。</w:t>
            </w:r>
            <w:r>
              <w:rPr>
                <w:rFonts w:hint="eastAsia" w:ascii="宋体" w:hAnsi="宋体" w:cs="宋体"/>
                <w:kern w:val="0"/>
                <w:szCs w:val="21"/>
              </w:rPr>
              <w:br w:type="textWrapping"/>
            </w:r>
            <w:r>
              <w:rPr>
                <w:rFonts w:hint="eastAsia" w:ascii="宋体" w:hAnsi="宋体" w:cs="宋体"/>
                <w:b/>
                <w:bCs/>
                <w:kern w:val="0"/>
                <w:szCs w:val="21"/>
              </w:rPr>
              <w:t>二、书法凳</w:t>
            </w:r>
            <w:r>
              <w:rPr>
                <w:rFonts w:hint="eastAsia" w:ascii="宋体" w:hAnsi="宋体" w:cs="宋体"/>
                <w:b/>
                <w:bCs/>
                <w:kern w:val="0"/>
                <w:szCs w:val="21"/>
              </w:rPr>
              <w:br w:type="textWrapping"/>
            </w:r>
            <w:r>
              <w:rPr>
                <w:rFonts w:hint="eastAsia" w:ascii="宋体" w:hAnsi="宋体" w:cs="宋体"/>
                <w:kern w:val="0"/>
                <w:szCs w:val="21"/>
              </w:rPr>
              <w:t>与教师书法桌搭配使用，木制，纹理清晰，榫卯结构，表面平整光滑。≥560×450×1150mm木料经四面刨光，木材含水率8%-12%，无虫蚀、腐朽材，木纹流畅，色泽一致，颜色均匀平整。</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学生书法美术桌</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外观尺寸：≥1400×600×750mm，采用优质实木，榫卯结构，马鞍造型。桌面边框厚度≥32mm；设有图案雕花；带有桌斗，木料经四面刨光，结合部位牢固无松动，木材含水率8%-12%，无虫蚀、腐朽材，木纹流畅，色泽一致，颜色均匀平整。(不含拷贝台）</w:t>
            </w:r>
            <w:r>
              <w:rPr>
                <w:rFonts w:hint="eastAsia" w:ascii="宋体" w:hAnsi="宋体" w:cs="宋体"/>
                <w:kern w:val="0"/>
                <w:szCs w:val="21"/>
              </w:rPr>
              <w:br w:type="textWrapping"/>
            </w:r>
            <w:r>
              <w:rPr>
                <w:rFonts w:hint="eastAsia" w:ascii="宋体" w:hAnsi="宋体" w:cs="宋体"/>
                <w:kern w:val="0"/>
                <w:szCs w:val="21"/>
              </w:rPr>
              <w:t>2.涂饰：选用环保油漆漆涂饰，硬度≥2H，挥发性有机化合物、苯系物、游离甲醛含量均合格，表面平整，无颗粒、无气泡、无渣点，颜色均匀，可选色。</w:t>
            </w:r>
            <w:r>
              <w:rPr>
                <w:rFonts w:hint="eastAsia" w:ascii="宋体" w:hAnsi="宋体" w:cs="宋体"/>
                <w:b/>
                <w:bCs/>
                <w:kern w:val="0"/>
                <w:szCs w:val="21"/>
              </w:rPr>
              <w:br w:type="textWrapping"/>
            </w:r>
            <w:r>
              <w:rPr>
                <w:rFonts w:hint="eastAsia" w:ascii="宋体" w:hAnsi="宋体" w:cs="宋体"/>
                <w:b w:val="0"/>
                <w:bCs w:val="0"/>
                <w:color w:val="000000"/>
                <w:kern w:val="0"/>
                <w:szCs w:val="21"/>
                <w:lang w:bidi="ar"/>
              </w:rPr>
              <w:t>#3.供应商需</w:t>
            </w:r>
            <w:r>
              <w:rPr>
                <w:rFonts w:hint="eastAsia" w:ascii="宋体" w:hAnsi="宋体" w:cs="宋体"/>
                <w:b w:val="0"/>
                <w:bCs w:val="0"/>
                <w:kern w:val="0"/>
                <w:szCs w:val="21"/>
              </w:rPr>
              <w:t>提供有效的第三方检测机构出具的产品检测报告复印件并加盖供应商公章（检测报告需对形状和位置公差，材料要求、外观要求、桌类强度和耐久性、桌类稳定性、表面理化性能要求、安全性要求进行检测，含有害物质检测）</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学生书法凳</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1.规格：≥直径300mm，高450mm；实木，采用榫卯结构，仿古造型。木料经四面刨光，结合部位牢固无松动，木材含水率8%-12%，无虫蚀、腐朽材，木纹流畅，色泽一致，颜色均匀平整。</w:t>
            </w:r>
            <w:r>
              <w:rPr>
                <w:rFonts w:hint="eastAsia" w:ascii="宋体" w:hAnsi="宋体" w:cs="宋体"/>
                <w:kern w:val="0"/>
                <w:szCs w:val="21"/>
              </w:rPr>
              <w:br w:type="textWrapping"/>
            </w:r>
            <w:r>
              <w:rPr>
                <w:rFonts w:hint="eastAsia" w:ascii="宋体" w:hAnsi="宋体" w:cs="宋体"/>
                <w:kern w:val="0"/>
                <w:szCs w:val="21"/>
              </w:rPr>
              <w:t>2.涂饰：选用环保油漆漆涂饰，硬度≥2H，挥发性有机化合物、苯系物、游离甲醛含量均合格，表面平整，无颗粒、无气泡、无渣点，颜色均匀，可选色。颜色与书法桌一致。</w:t>
            </w:r>
            <w:r>
              <w:rPr>
                <w:rFonts w:hint="eastAsia" w:ascii="宋体" w:hAnsi="宋体" w:cs="宋体"/>
                <w:kern w:val="0"/>
                <w:szCs w:val="21"/>
              </w:rPr>
              <w:br w:type="textWrapping"/>
            </w:r>
            <w:r>
              <w:rPr>
                <w:rFonts w:hint="eastAsia" w:ascii="宋体" w:hAnsi="宋体" w:cs="宋体"/>
                <w:b w:val="0"/>
                <w:bCs w:val="0"/>
                <w:kern w:val="0"/>
                <w:szCs w:val="21"/>
              </w:rPr>
              <w:t>#3</w:t>
            </w:r>
            <w:r>
              <w:rPr>
                <w:rFonts w:hint="eastAsia" w:ascii="宋体" w:hAnsi="宋体" w:cs="宋体"/>
                <w:b w:val="0"/>
                <w:bCs w:val="0"/>
                <w:color w:val="auto"/>
                <w:kern w:val="0"/>
                <w:szCs w:val="21"/>
                <w:u w:val="none"/>
              </w:rPr>
              <w:t>.供应商需提供有效的第三方检测机构出具的产品检测报告复印件并加盖供应商公章（检测报告需对形状和位置公差，材料要求、外观要求、桌椅凳类强度和耐久性</w:t>
            </w:r>
            <w:r>
              <w:rPr>
                <w:rFonts w:hint="eastAsia" w:ascii="宋体" w:hAnsi="宋体" w:cs="宋体"/>
                <w:b w:val="0"/>
                <w:bCs w:val="0"/>
                <w:kern w:val="0"/>
                <w:szCs w:val="21"/>
              </w:rPr>
              <w:t>、桌椅凳稳定性、安全性要求进行检测，含有害物质检测）</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000" w:type="pct"/>
            <w:gridSpan w:val="5"/>
            <w:shd w:val="clear" w:color="auto" w:fill="auto"/>
            <w:noWrap/>
            <w:vAlign w:val="center"/>
          </w:tcPr>
          <w:p>
            <w:pPr>
              <w:widowControl/>
              <w:jc w:val="left"/>
              <w:rPr>
                <w:rFonts w:ascii="宋体" w:hAnsi="宋体" w:cs="宋体"/>
                <w:kern w:val="0"/>
                <w:szCs w:val="21"/>
              </w:rPr>
            </w:pPr>
            <w:r>
              <w:rPr>
                <w:rFonts w:hint="eastAsia" w:ascii="宋体" w:hAnsi="宋体" w:cs="宋体"/>
                <w:b/>
                <w:bCs/>
                <w:kern w:val="0"/>
                <w:szCs w:val="21"/>
              </w:rPr>
              <w:t>四、计算机教室</w:t>
            </w: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计算机</w:t>
            </w:r>
          </w:p>
          <w:p>
            <w:pPr>
              <w:widowControl/>
              <w:jc w:val="center"/>
              <w:rPr>
                <w:rFonts w:ascii="宋体" w:hAnsi="宋体" w:cs="宋体"/>
                <w:kern w:val="0"/>
                <w:szCs w:val="21"/>
              </w:rPr>
            </w:pPr>
            <w:r>
              <w:rPr>
                <w:rFonts w:hint="eastAsia" w:ascii="宋体" w:hAnsi="宋体" w:cs="宋体"/>
                <w:kern w:val="0"/>
                <w:szCs w:val="21"/>
              </w:rPr>
              <w:t>教师演示台</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1.规格：</w:t>
            </w:r>
            <w:r>
              <w:rPr>
                <w:rFonts w:hint="eastAsia" w:ascii="宋体" w:hAnsi="宋体" w:cs="宋体"/>
                <w:b/>
                <w:bCs/>
                <w:kern w:val="0"/>
                <w:szCs w:val="21"/>
              </w:rPr>
              <w:t>≥</w:t>
            </w:r>
            <w:r>
              <w:rPr>
                <w:rFonts w:hint="eastAsia" w:ascii="宋体" w:hAnsi="宋体" w:cs="宋体"/>
                <w:kern w:val="0"/>
                <w:szCs w:val="21"/>
              </w:rPr>
              <w:t>1600×700×850mm；结构：演示台设有储物柜，中间为演示台,预留多媒体（显示器、主机、功放、展示台、中控）摆放位置。</w:t>
            </w:r>
            <w:r>
              <w:rPr>
                <w:rFonts w:hint="eastAsia" w:ascii="宋体" w:hAnsi="宋体" w:cs="宋体"/>
                <w:kern w:val="0"/>
                <w:szCs w:val="21"/>
              </w:rPr>
              <w:br w:type="textWrapping"/>
            </w:r>
            <w:r>
              <w:rPr>
                <w:rFonts w:hint="eastAsia" w:ascii="宋体" w:hAnsi="宋体" w:cs="宋体"/>
                <w:kern w:val="0"/>
                <w:szCs w:val="21"/>
              </w:rPr>
              <w:t>2.台面：采用E0级环保实木颗粒板，板厚≥25mm ，板材所有外露截面均采用</w:t>
            </w:r>
            <w:r>
              <w:rPr>
                <w:rFonts w:hint="eastAsia" w:ascii="宋体" w:hAnsi="宋体" w:cs="宋体"/>
                <w:b/>
                <w:bCs/>
                <w:kern w:val="0"/>
                <w:szCs w:val="21"/>
              </w:rPr>
              <w:t>≥</w:t>
            </w:r>
            <w:r>
              <w:rPr>
                <w:rFonts w:hint="eastAsia" w:ascii="宋体" w:hAnsi="宋体" w:cs="宋体"/>
                <w:kern w:val="0"/>
                <w:szCs w:val="21"/>
              </w:rPr>
              <w:t>1.5mm厚PVC封边条,机械封边。桌身：采用E0级环保实木颗粒板，板厚≥18mm ，板材所有外露截面均采用≥1.5mm厚PVC封边条,机械封边。</w:t>
            </w:r>
          </w:p>
        </w:tc>
        <w:tc>
          <w:tcPr>
            <w:tcW w:w="4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张</w:t>
            </w:r>
          </w:p>
        </w:tc>
        <w:tc>
          <w:tcPr>
            <w:tcW w:w="44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办公椅</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常规尺寸，弓形椅，中背，带扶手、腰靠；材质：椅座、背采用环保网布。泡棉：椅座内衬采用一次成型PU泡棉，密度≥38kg/m</w:t>
            </w:r>
            <w:r>
              <w:rPr>
                <w:rFonts w:ascii="宋体" w:hAnsi="宋体" w:cs="宋体"/>
                <w:kern w:val="0"/>
                <w:szCs w:val="21"/>
                <w:vertAlign w:val="superscript"/>
              </w:rPr>
              <w:t>3</w:t>
            </w:r>
            <w:r>
              <w:rPr>
                <w:rFonts w:hint="eastAsia" w:ascii="宋体" w:hAnsi="宋体" w:cs="宋体"/>
                <w:kern w:val="0"/>
                <w:szCs w:val="21"/>
              </w:rPr>
              <w:t>。胶合板：椅座内衬采用一次成型多层胶合板，（游离甲醛释放量＜0.8mg／L）。钢腿壁厚≥1.8mm，表面镀铬处理，配环保材料脚垫。</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计算机桌</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1.规格：≥700×600×780mm（单人桌）；功能：桌面有上三面围板，能起隔音、作弊的效果。桌子里面暗藏封闭过线槽；</w:t>
            </w:r>
            <w:r>
              <w:rPr>
                <w:rFonts w:hint="eastAsia" w:ascii="宋体" w:hAnsi="宋体" w:cs="宋体"/>
                <w:kern w:val="0"/>
                <w:szCs w:val="21"/>
              </w:rPr>
              <w:br w:type="textWrapping"/>
            </w:r>
            <w:r>
              <w:rPr>
                <w:rFonts w:hint="eastAsia" w:ascii="宋体" w:hAnsi="宋体" w:cs="宋体"/>
                <w:kern w:val="0"/>
                <w:szCs w:val="21"/>
              </w:rPr>
              <w:t>2.基材：采用E0级环保实木颗粒板，台面≥25mm厚，其它≥18mm厚。面  材：板材所有外露截面均采用≥1.5mm厚PVC封边条,机械封边。五金件：采用国内品牌。键盘：采用划轨成品键盘架。玻璃：采用≥5mm厚钢化透明白玻并四周磨边。</w:t>
            </w:r>
            <w:r>
              <w:rPr>
                <w:rFonts w:hint="eastAsia" w:ascii="宋体" w:hAnsi="宋体" w:cs="宋体"/>
                <w:kern w:val="0"/>
                <w:szCs w:val="21"/>
              </w:rPr>
              <w:br w:type="textWrapping"/>
            </w:r>
            <w:r>
              <w:rPr>
                <w:rFonts w:hint="eastAsia" w:ascii="宋体" w:hAnsi="宋体" w:cs="宋体"/>
                <w:kern w:val="0"/>
                <w:szCs w:val="21"/>
              </w:rPr>
              <w:t>3.工艺：基材粘贴严密、平整，没有脱胶、明显透胶、鼓泡现象，无裂缝、压痕和划伤。自装配拆装产品零件结合牢固严密。所有人造板部件含隐蔽部位均双饰面封四边，走线孔槽内缘及隐蔽部位均封边处理。</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座</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学生凳</w:t>
            </w:r>
          </w:p>
        </w:tc>
        <w:tc>
          <w:tcPr>
            <w:tcW w:w="2956" w:type="pct"/>
            <w:shd w:val="clear" w:color="auto" w:fill="auto"/>
            <w:vAlign w:val="center"/>
          </w:tcPr>
          <w:p>
            <w:pPr>
              <w:widowControl/>
              <w:numPr>
                <w:ilvl w:val="255"/>
                <w:numId w:val="0"/>
              </w:numPr>
              <w:jc w:val="left"/>
              <w:rPr>
                <w:rFonts w:ascii="宋体" w:hAnsi="宋体" w:cs="宋体"/>
                <w:kern w:val="0"/>
                <w:szCs w:val="21"/>
              </w:rPr>
            </w:pPr>
            <w:r>
              <w:rPr>
                <w:rFonts w:hint="eastAsia" w:ascii="宋体" w:hAnsi="宋体" w:cs="宋体"/>
                <w:kern w:val="0"/>
                <w:szCs w:val="21"/>
              </w:rPr>
              <w:t>1.坐垫（圆凳）：</w:t>
            </w:r>
          </w:p>
          <w:p>
            <w:pPr>
              <w:widowControl/>
              <w:jc w:val="left"/>
              <w:rPr>
                <w:rFonts w:ascii="宋体" w:hAnsi="宋体" w:cs="宋体"/>
                <w:kern w:val="0"/>
                <w:szCs w:val="21"/>
              </w:rPr>
            </w:pPr>
            <w:r>
              <w:rPr>
                <w:rFonts w:hint="eastAsia" w:ascii="宋体" w:hAnsi="宋体" w:cs="宋体"/>
                <w:kern w:val="0"/>
                <w:szCs w:val="21"/>
              </w:rPr>
              <w:t>材质：采用ABS一体成型；尺寸：直径30cm±1cm；中间有內弧造型，深度为8mm；</w:t>
            </w:r>
            <w:r>
              <w:rPr>
                <w:rFonts w:hint="eastAsia" w:ascii="宋体" w:hAnsi="宋体" w:cs="宋体"/>
                <w:kern w:val="0"/>
                <w:szCs w:val="21"/>
              </w:rPr>
              <w:br w:type="textWrapping"/>
            </w:r>
            <w:r>
              <w:rPr>
                <w:rFonts w:hint="eastAsia" w:ascii="宋体" w:hAnsi="宋体" w:cs="宋体"/>
                <w:kern w:val="0"/>
                <w:szCs w:val="21"/>
              </w:rPr>
              <w:t>2.脚钢架：</w:t>
            </w:r>
          </w:p>
          <w:p>
            <w:pPr>
              <w:widowControl/>
              <w:jc w:val="left"/>
              <w:rPr>
                <w:rFonts w:ascii="宋体" w:hAnsi="宋体" w:cs="宋体"/>
                <w:kern w:val="0"/>
                <w:szCs w:val="21"/>
              </w:rPr>
            </w:pPr>
            <w:r>
              <w:rPr>
                <w:rFonts w:hint="eastAsia" w:ascii="宋体" w:hAnsi="宋体" w:cs="宋体"/>
                <w:kern w:val="0"/>
                <w:szCs w:val="21"/>
              </w:rPr>
              <w:t>材质及形状：橢圆型钢管；尺寸：16.5×34×1.5mm±10mm橢圆管；表面涂装：经高温粉体烤漆；中间固定钢板：直径190×2mm±5mm钢板制；</w:t>
            </w:r>
            <w:r>
              <w:rPr>
                <w:rFonts w:hint="eastAsia" w:ascii="宋体" w:hAnsi="宋体" w:cs="宋体"/>
                <w:kern w:val="0"/>
                <w:szCs w:val="21"/>
              </w:rPr>
              <w:br w:type="textWrapping"/>
            </w:r>
            <w:r>
              <w:rPr>
                <w:rFonts w:hint="eastAsia" w:ascii="宋体" w:hAnsi="宋体" w:cs="宋体"/>
                <w:kern w:val="0"/>
                <w:szCs w:val="21"/>
              </w:rPr>
              <w:t>3.脚垫：</w:t>
            </w:r>
          </w:p>
          <w:p>
            <w:pPr>
              <w:widowControl/>
              <w:jc w:val="left"/>
              <w:rPr>
                <w:rFonts w:ascii="宋体" w:hAnsi="宋体" w:cs="宋体"/>
                <w:kern w:val="0"/>
                <w:szCs w:val="21"/>
              </w:rPr>
            </w:pPr>
            <w:r>
              <w:rPr>
                <w:rFonts w:hint="eastAsia" w:ascii="宋体" w:hAnsi="宋体" w:cs="宋体"/>
                <w:kern w:val="0"/>
                <w:szCs w:val="21"/>
              </w:rPr>
              <w:t>材质：采PP加纤维质塑料，实心一体成型。</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防静电</w:t>
            </w:r>
          </w:p>
          <w:p>
            <w:pPr>
              <w:widowControl/>
              <w:jc w:val="center"/>
              <w:rPr>
                <w:rFonts w:ascii="宋体" w:hAnsi="宋体" w:cs="宋体"/>
                <w:kern w:val="0"/>
                <w:szCs w:val="21"/>
              </w:rPr>
            </w:pPr>
            <w:r>
              <w:rPr>
                <w:rFonts w:hint="eastAsia" w:ascii="宋体" w:hAnsi="宋体" w:cs="宋体"/>
                <w:kern w:val="0"/>
                <w:szCs w:val="21"/>
              </w:rPr>
              <w:t>陶瓷地板</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规格：≥600×600×40mm；材质：防静电陶瓷；采用一级冷轧钢板拉伸成型点焊，上层钢板冷轧钢板，下层抗拉钢板，两层经过冲压形成钢壳，钢壳内填充发泡水泥；表面采用耐磨防静电陶瓷面；四周镶嵌导电条，支架，横梁全部镀锌，支架为可调试。</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路由器</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1.固化千兆电口≥5个，标准1U设备，非X86多核硬件体系架构，内存≥512MB，USB接口≥1个；吞吐量≥500MB，用户规模≥200终端；设备需支持多链路负载均衡；</w:t>
            </w:r>
            <w:r>
              <w:rPr>
                <w:rFonts w:hint="eastAsia" w:ascii="宋体" w:hAnsi="宋体" w:cs="宋体"/>
                <w:kern w:val="0"/>
                <w:szCs w:val="21"/>
              </w:rPr>
              <w:br w:type="textWrapping"/>
            </w:r>
            <w:r>
              <w:rPr>
                <w:rFonts w:hint="eastAsia" w:ascii="宋体" w:hAnsi="宋体" w:cs="宋体"/>
                <w:kern w:val="0"/>
                <w:szCs w:val="21"/>
              </w:rPr>
              <w:t>2.需支持策略路由，如：一个策略可以指定从某个网络发出的数据包只能转发到某个特定的接口；为满足增量（补盲）网络下实现，行为/流控/认证/VPN 需求；</w:t>
            </w:r>
            <w:r>
              <w:rPr>
                <w:rFonts w:hint="eastAsia" w:ascii="宋体" w:hAnsi="宋体" w:cs="宋体"/>
                <w:kern w:val="0"/>
                <w:szCs w:val="21"/>
              </w:rPr>
              <w:br w:type="textWrapping"/>
            </w:r>
            <w:r>
              <w:rPr>
                <w:rFonts w:hint="eastAsia" w:ascii="宋体" w:hAnsi="宋体" w:cs="宋体"/>
                <w:kern w:val="0"/>
                <w:szCs w:val="21"/>
              </w:rPr>
              <w:t>3.设备能够发现私接路由（或者共享软件等）共享网络的行为；</w:t>
            </w:r>
            <w:r>
              <w:rPr>
                <w:rFonts w:hint="eastAsia" w:ascii="宋体" w:hAnsi="宋体" w:cs="宋体"/>
                <w:kern w:val="0"/>
                <w:szCs w:val="21"/>
              </w:rPr>
              <w:br w:type="textWrapping"/>
            </w:r>
            <w:r>
              <w:rPr>
                <w:rFonts w:hint="eastAsia" w:ascii="宋体" w:hAnsi="宋体" w:cs="宋体"/>
                <w:kern w:val="0"/>
                <w:szCs w:val="21"/>
              </w:rPr>
              <w:t>4.能够实时看到各级流控策略的状态：包括所属线路、瞬时速率、通道占用比例、用户数、保证带宽、最大带宽、启用状态等；</w:t>
            </w:r>
            <w:r>
              <w:rPr>
                <w:rFonts w:hint="eastAsia" w:ascii="宋体" w:hAnsi="宋体" w:cs="宋体"/>
                <w:kern w:val="0"/>
                <w:szCs w:val="21"/>
              </w:rPr>
              <w:br w:type="textWrapping"/>
            </w:r>
            <w:r>
              <w:rPr>
                <w:rFonts w:hint="eastAsia" w:ascii="宋体" w:hAnsi="宋体" w:cs="宋体"/>
                <w:kern w:val="0"/>
                <w:szCs w:val="21"/>
              </w:rPr>
              <w:t>5.设备需支持管理平台的集中管理，支持拓扑呈现，实时反馈CPU内存情况，远程配置等，实配网管平台；</w:t>
            </w:r>
            <w:r>
              <w:rPr>
                <w:rFonts w:hint="eastAsia" w:ascii="宋体" w:hAnsi="宋体" w:cs="宋体"/>
                <w:kern w:val="0"/>
                <w:szCs w:val="21"/>
              </w:rPr>
              <w:br w:type="textWrapping"/>
            </w:r>
            <w:r>
              <w:rPr>
                <w:rFonts w:hint="eastAsia" w:ascii="宋体" w:hAnsi="宋体" w:cs="宋体"/>
                <w:b w:val="0"/>
                <w:bCs w:val="0"/>
                <w:kern w:val="0"/>
                <w:szCs w:val="21"/>
              </w:rPr>
              <w:t>#6.设备需支持一键化的场景化配置功能，且场景数目≥5个，需提供设备配置截图复印件并加盖</w:t>
            </w:r>
            <w:r>
              <w:rPr>
                <w:rFonts w:hint="eastAsia" w:ascii="宋体" w:hAnsi="宋体" w:cs="宋体"/>
                <w:b w:val="0"/>
                <w:bCs w:val="0"/>
                <w:kern w:val="0"/>
                <w:szCs w:val="21"/>
                <w:lang w:val="en-US" w:eastAsia="zh-CN"/>
              </w:rPr>
              <w:t>制造</w:t>
            </w:r>
            <w:r>
              <w:rPr>
                <w:rFonts w:hint="eastAsia" w:ascii="宋体" w:hAnsi="宋体" w:cs="宋体"/>
                <w:b w:val="0"/>
                <w:bCs w:val="0"/>
                <w:kern w:val="0"/>
                <w:szCs w:val="21"/>
              </w:rPr>
              <w:t>商公章；</w:t>
            </w:r>
            <w:r>
              <w:rPr>
                <w:rFonts w:hint="eastAsia" w:ascii="宋体" w:hAnsi="宋体" w:cs="宋体"/>
                <w:b w:val="0"/>
                <w:bCs w:val="0"/>
                <w:kern w:val="0"/>
                <w:szCs w:val="21"/>
              </w:rPr>
              <w:br w:type="textWrapping"/>
            </w:r>
            <w:r>
              <w:rPr>
                <w:rFonts w:hint="eastAsia" w:ascii="宋体" w:hAnsi="宋体" w:cs="宋体"/>
                <w:b w:val="0"/>
                <w:bCs w:val="0"/>
                <w:kern w:val="0"/>
                <w:szCs w:val="21"/>
              </w:rPr>
              <w:t>#7.设备需支持可视化VPN功能，VPN建立完成后能够自动生成拓扑图，可以查看VPN流量使用情况并对其进行限速，可以监控各接入单位设备在线状态实现统一运维，需提供设备本功能截图复印件并加盖</w:t>
            </w:r>
            <w:r>
              <w:rPr>
                <w:rFonts w:hint="eastAsia" w:ascii="宋体" w:hAnsi="宋体" w:cs="宋体"/>
                <w:b w:val="0"/>
                <w:bCs w:val="0"/>
                <w:kern w:val="0"/>
                <w:szCs w:val="21"/>
                <w:lang w:val="en-US" w:eastAsia="zh-CN"/>
              </w:rPr>
              <w:t>制造</w:t>
            </w:r>
            <w:r>
              <w:rPr>
                <w:rFonts w:hint="eastAsia" w:ascii="宋体" w:hAnsi="宋体" w:cs="宋体"/>
                <w:b w:val="0"/>
                <w:bCs w:val="0"/>
                <w:kern w:val="0"/>
                <w:szCs w:val="21"/>
              </w:rPr>
              <w:t>商公章；</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24口千兆</w:t>
            </w:r>
          </w:p>
          <w:p>
            <w:pPr>
              <w:widowControl/>
              <w:jc w:val="center"/>
              <w:rPr>
                <w:rFonts w:ascii="宋体" w:hAnsi="宋体" w:cs="宋体"/>
                <w:kern w:val="0"/>
                <w:szCs w:val="21"/>
              </w:rPr>
            </w:pPr>
            <w:r>
              <w:rPr>
                <w:rFonts w:hint="eastAsia" w:ascii="宋体" w:hAnsi="宋体" w:cs="宋体"/>
                <w:kern w:val="0"/>
                <w:szCs w:val="21"/>
              </w:rPr>
              <w:t>交换机</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1.固化千兆电口≥24个，固化千兆光口≥4个，标准1U设备；交换容量≥336Gbps，包转发率≥42Mpps；MAC地址容量≥8K；防雷等级≥6KV；</w:t>
            </w:r>
            <w:r>
              <w:rPr>
                <w:rFonts w:hint="eastAsia" w:ascii="宋体" w:hAnsi="宋体" w:cs="宋体"/>
                <w:kern w:val="0"/>
                <w:szCs w:val="21"/>
              </w:rPr>
              <w:br w:type="textWrapping"/>
            </w:r>
            <w:r>
              <w:rPr>
                <w:rFonts w:hint="eastAsia" w:ascii="宋体" w:hAnsi="宋体" w:cs="宋体"/>
                <w:kern w:val="0"/>
                <w:szCs w:val="21"/>
              </w:rPr>
              <w:t>2.支持生成树STP/RSTP；支持静态链路聚合；支持端口镜像，一对一镜像，多对一镜像；支持DHCP Snooping；避免上网终端从非法DHCP服务器分配IP地址；支持VLAN划分，最大支持4094个VLAN；</w:t>
            </w:r>
            <w:r>
              <w:rPr>
                <w:rFonts w:hint="eastAsia" w:ascii="宋体" w:hAnsi="宋体" w:cs="宋体"/>
                <w:kern w:val="0"/>
                <w:szCs w:val="21"/>
              </w:rPr>
              <w:br w:type="textWrapping"/>
            </w:r>
            <w:r>
              <w:rPr>
                <w:rFonts w:hint="eastAsia" w:ascii="宋体" w:hAnsi="宋体" w:cs="宋体"/>
                <w:kern w:val="0"/>
                <w:szCs w:val="21"/>
              </w:rPr>
              <w:t>3.支持以太网（EEE），端口如果在连续一段时间之内空闲，系统会将该端口设置为节能模式，当有报文收发时再通过定时发送的监听码流唤醒端口恢复业务；</w:t>
            </w:r>
            <w:r>
              <w:rPr>
                <w:rFonts w:hint="eastAsia" w:ascii="宋体" w:hAnsi="宋体" w:cs="宋体"/>
                <w:kern w:val="0"/>
                <w:szCs w:val="21"/>
              </w:rPr>
              <w:br w:type="textWrapping"/>
            </w:r>
            <w:r>
              <w:rPr>
                <w:rFonts w:hint="eastAsia" w:ascii="宋体" w:hAnsi="宋体" w:cs="宋体"/>
                <w:b w:val="0"/>
                <w:bCs w:val="0"/>
                <w:kern w:val="0"/>
                <w:szCs w:val="21"/>
              </w:rPr>
              <w:t>#4.设备需支持管理平台的集中管理，可以拓扑呈现，链路状态呈现，远程配置等，实配网管平台，需提供官网截图证明复印件并加盖</w:t>
            </w:r>
            <w:r>
              <w:rPr>
                <w:rFonts w:hint="eastAsia" w:ascii="宋体" w:hAnsi="宋体" w:cs="宋体"/>
                <w:b w:val="0"/>
                <w:bCs w:val="0"/>
                <w:kern w:val="0"/>
                <w:szCs w:val="21"/>
                <w:lang w:val="en-US" w:eastAsia="zh-CN"/>
              </w:rPr>
              <w:t>制造</w:t>
            </w:r>
            <w:r>
              <w:rPr>
                <w:rFonts w:hint="eastAsia" w:ascii="宋体" w:hAnsi="宋体" w:cs="宋体"/>
                <w:b w:val="0"/>
                <w:bCs w:val="0"/>
                <w:kern w:val="0"/>
                <w:szCs w:val="21"/>
              </w:rPr>
              <w:t>商公章。</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接线板</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最大支持电流：≥10A；额定电压：≤250V；功率：≥2500W；插位：≥3位。</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网线</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六类四对非屏蔽双绞线：裸铜线径为≥0.56mm；绝缘线径为≥1.02mm；电缆直径为≥6.53mm。</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米</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水晶头</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国标六类水晶头</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机柜</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标准19英寸, ≥高12</w:t>
            </w:r>
            <w:r>
              <w:rPr>
                <w:rFonts w:ascii="宋体" w:hAnsi="宋体" w:cs="宋体"/>
                <w:kern w:val="0"/>
                <w:szCs w:val="21"/>
              </w:rPr>
              <w:t>00</w:t>
            </w:r>
            <w:r>
              <w:rPr>
                <w:rFonts w:hint="eastAsia" w:ascii="宋体" w:hAnsi="宋体" w:cs="宋体"/>
                <w:kern w:val="0"/>
                <w:szCs w:val="21"/>
              </w:rPr>
              <w:t>m</w:t>
            </w:r>
            <w:r>
              <w:rPr>
                <w:rFonts w:ascii="宋体" w:hAnsi="宋体" w:cs="宋体"/>
                <w:kern w:val="0"/>
                <w:szCs w:val="21"/>
              </w:rPr>
              <w:t>m</w:t>
            </w:r>
            <w:r>
              <w:rPr>
                <w:rFonts w:hint="eastAsia" w:ascii="宋体" w:hAnsi="宋体" w:cs="宋体"/>
                <w:kern w:val="0"/>
                <w:szCs w:val="21"/>
              </w:rPr>
              <w:t>×</w:t>
            </w:r>
            <w:r>
              <w:rPr>
                <w:rFonts w:ascii="宋体" w:hAnsi="宋体" w:cs="宋体"/>
                <w:kern w:val="0"/>
                <w:szCs w:val="21"/>
              </w:rPr>
              <w:t>600mm</w:t>
            </w:r>
            <w:r>
              <w:rPr>
                <w:rFonts w:hint="eastAsia" w:ascii="宋体" w:hAnsi="宋体" w:cs="宋体"/>
                <w:kern w:val="0"/>
                <w:szCs w:val="21"/>
              </w:rPr>
              <w:t>宽×</w:t>
            </w:r>
            <w:r>
              <w:rPr>
                <w:rFonts w:ascii="宋体" w:hAnsi="宋体" w:cs="宋体"/>
                <w:kern w:val="0"/>
                <w:szCs w:val="21"/>
              </w:rPr>
              <w:t>600mm</w:t>
            </w:r>
            <w:r>
              <w:rPr>
                <w:rFonts w:hint="eastAsia" w:ascii="宋体" w:hAnsi="宋体" w:cs="宋体"/>
                <w:kern w:val="0"/>
                <w:szCs w:val="21"/>
              </w:rPr>
              <w:t>深网门，厚度：方孔条≥2.0mm，脚轮托盘≥2.0mm，骨架和安装梁≥1.5mm，其他≥1mm；承载：静载承重≥1000KG。</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RJ45配线架</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六类配线架铁架为≥1.5MM厚度喷塑；塑体材质：PC/ABS UL-94V0，RJ45外壳/IN'S材质为PBT UL-94V0；内针连接方式为8P8C；材质为磷青铜；镀金：3U-50U，线路板材料为：FR-4 UL-94V0；卡脚簧片材质为： 磷青铜镀锡；色标：T568A/B。</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条</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RJ45</w:t>
            </w:r>
          </w:p>
          <w:p>
            <w:pPr>
              <w:widowControl/>
              <w:jc w:val="center"/>
              <w:rPr>
                <w:rFonts w:ascii="宋体" w:hAnsi="宋体" w:cs="宋体"/>
                <w:kern w:val="0"/>
                <w:szCs w:val="21"/>
              </w:rPr>
            </w:pPr>
            <w:r>
              <w:rPr>
                <w:rFonts w:hint="eastAsia" w:ascii="宋体" w:hAnsi="宋体" w:cs="宋体"/>
                <w:kern w:val="0"/>
                <w:szCs w:val="21"/>
              </w:rPr>
              <w:t>六类跳线</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六类≥1.5米RJ45-RJ45。</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条</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理线器</w:t>
            </w:r>
          </w:p>
          <w:p>
            <w:pPr>
              <w:widowControl/>
              <w:jc w:val="center"/>
              <w:rPr>
                <w:rFonts w:ascii="宋体" w:hAnsi="宋体" w:cs="宋体"/>
                <w:kern w:val="0"/>
                <w:szCs w:val="21"/>
              </w:rPr>
            </w:pPr>
            <w:r>
              <w:rPr>
                <w:rFonts w:hint="eastAsia" w:ascii="宋体" w:hAnsi="宋体" w:cs="宋体"/>
                <w:kern w:val="0"/>
                <w:szCs w:val="21"/>
              </w:rPr>
              <w:t>（理线槽）</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≥24口；保护线缆的弯曲半径；施工温度需满足10℃ 到 40℃。</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配电柜</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明装≥400×500×200mm电源箱，配置九回路电源，配置防雷模块。</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地插面板</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电压：≥220V，电流≥10A。</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电线</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采用无氧铜材质，导电性能稳定，国标4平方BV线缆。</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米</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主电线</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采用无氧铜材质，导电性能稳定，国标6平方BV线缆。</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米</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pvc线槽</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≥40×20mm，阻燃，绝缘，抗压，防潮，耐油碱。</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米</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w:t>
            </w:r>
          </w:p>
        </w:tc>
        <w:tc>
          <w:tcPr>
            <w:tcW w:w="74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铁线槽</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镀锌材质线槽，≥20×40mm，含连接配件盖板。</w:t>
            </w:r>
          </w:p>
        </w:tc>
        <w:tc>
          <w:tcPr>
            <w:tcW w:w="4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米</w:t>
            </w:r>
          </w:p>
        </w:tc>
        <w:tc>
          <w:tcPr>
            <w:tcW w:w="44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shd w:val="clear" w:color="auto" w:fill="auto"/>
            <w:noWrap/>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五、阅览室家具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745"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阅览椅</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1.材质：面层：椅座、背采用环保麻绒布；泡棉：椅座、背内衬采用一次成型PU泡棉。胶合板：椅座、背内衬采用一次成型多层胶合板，（游离甲醛释放量＜0.8mg／L）。</w:t>
            </w:r>
            <w:r>
              <w:rPr>
                <w:rFonts w:hint="eastAsia" w:ascii="宋体" w:hAnsi="宋体" w:cs="宋体"/>
                <w:kern w:val="0"/>
                <w:szCs w:val="21"/>
              </w:rPr>
              <w:br w:type="textWrapping"/>
            </w:r>
            <w:r>
              <w:rPr>
                <w:rFonts w:hint="eastAsia" w:ascii="宋体" w:hAnsi="宋体" w:cs="宋体"/>
                <w:kern w:val="0"/>
                <w:szCs w:val="21"/>
              </w:rPr>
              <w:t>2.椅架：采用国内钢管，经二次回火成型，钢管壁厚≥1.2mm，表面经除锈、除油、酸洗、磷化后喷塑处理。涂层：采用环保型塑粉。工艺：使用无苯胶粘剂粘接泡棉，内部不使用废旧衬垫物，保持衬垫物 干燥、卫生。</w:t>
            </w:r>
          </w:p>
        </w:tc>
        <w:tc>
          <w:tcPr>
            <w:tcW w:w="401"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448"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745"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目录柜</w:t>
            </w:r>
          </w:p>
        </w:tc>
        <w:tc>
          <w:tcPr>
            <w:tcW w:w="295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图书馆存放图书目录卡专用。</w:t>
            </w:r>
            <w:r>
              <w:rPr>
                <w:rFonts w:hint="eastAsia" w:ascii="宋体" w:hAnsi="宋体" w:cs="宋体"/>
                <w:kern w:val="0"/>
                <w:szCs w:val="21"/>
              </w:rPr>
              <w:br w:type="textWrapping"/>
            </w:r>
            <w:r>
              <w:rPr>
                <w:rFonts w:hint="eastAsia" w:ascii="宋体" w:hAnsi="宋体" w:cs="宋体"/>
                <w:kern w:val="0"/>
                <w:szCs w:val="21"/>
              </w:rPr>
              <w:t>规格：≥1000×300×1500mm。柜体采用≥0.8mm厚冷轧钢板、喷塑工艺，上部为多层卡片抽屉，下部为对开门柜，满足图书目录卡存放要求。</w:t>
            </w:r>
          </w:p>
        </w:tc>
        <w:tc>
          <w:tcPr>
            <w:tcW w:w="4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448"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r>
    </w:tbl>
    <w:p/>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注：1、“★”为实质性条款，不满足的将被视为无效响应予以拒绝。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sz w:val="21"/>
          <w:szCs w:val="21"/>
          <w:lang w:val="en-US" w:eastAsia="zh-CN"/>
        </w:rPr>
        <w:t>2、</w:t>
      </w:r>
      <w:r>
        <w:rPr>
          <w:rFonts w:hint="eastAsia"/>
          <w:sz w:val="21"/>
          <w:szCs w:val="21"/>
        </w:rPr>
        <w:t>技术参数中所涉品牌、型号、专用技术等为描述所需，不具备强制性，要求所投产品至少满足该配置档次要求，并须确保整体系统兼容性。</w:t>
      </w:r>
    </w:p>
    <w:p>
      <w:pPr>
        <w:pStyle w:val="5"/>
      </w:pPr>
    </w:p>
    <w:p>
      <w:pPr>
        <w:rPr>
          <w:b/>
          <w:sz w:val="24"/>
        </w:rPr>
      </w:pPr>
      <w:r>
        <w:rPr>
          <w:rFonts w:hint="eastAsia"/>
          <w:b/>
          <w:sz w:val="24"/>
        </w:rPr>
        <w:t>三、商务要求</w:t>
      </w:r>
    </w:p>
    <w:p>
      <w:pPr>
        <w:pStyle w:val="34"/>
        <w:spacing w:line="360" w:lineRule="auto"/>
        <w:ind w:left="0"/>
        <w:rPr>
          <w:sz w:val="24"/>
          <w:szCs w:val="24"/>
        </w:rPr>
      </w:pPr>
      <w:r>
        <w:rPr>
          <w:sz w:val="24"/>
          <w:szCs w:val="24"/>
        </w:rPr>
        <w:t>1、交货时间：自合同签订生效之日起</w:t>
      </w:r>
      <w:r>
        <w:rPr>
          <w:rFonts w:hint="eastAsia"/>
          <w:sz w:val="24"/>
          <w:szCs w:val="24"/>
          <w:lang w:val="en-US" w:eastAsia="zh-CN"/>
        </w:rPr>
        <w:t>10</w:t>
      </w:r>
      <w:r>
        <w:rPr>
          <w:sz w:val="24"/>
          <w:szCs w:val="24"/>
        </w:rPr>
        <w:t>个日历日内完成供货、安装、联合调试。</w:t>
      </w:r>
    </w:p>
    <w:p>
      <w:pPr>
        <w:pStyle w:val="34"/>
        <w:spacing w:line="360" w:lineRule="auto"/>
        <w:ind w:left="0"/>
        <w:rPr>
          <w:sz w:val="24"/>
          <w:szCs w:val="24"/>
        </w:rPr>
      </w:pPr>
      <w:r>
        <w:rPr>
          <w:sz w:val="24"/>
          <w:szCs w:val="24"/>
        </w:rPr>
        <w:t>2、交货、安装及验收地点：用户指定地点。</w:t>
      </w:r>
    </w:p>
    <w:p>
      <w:pPr>
        <w:pStyle w:val="34"/>
        <w:spacing w:line="360" w:lineRule="auto"/>
        <w:ind w:left="0"/>
      </w:pPr>
      <w:r>
        <w:rPr>
          <w:sz w:val="24"/>
          <w:szCs w:val="24"/>
        </w:rPr>
        <w:t>3、付款要求：合同签订生效后，采购人支付给供应商合同总价的50%作为预付款；全部货物送达采购人指定地点并完成安装调试，且项目整体验收合格后，支付合同总价50%的余款。</w:t>
      </w:r>
    </w:p>
    <w:p>
      <w:pPr>
        <w:keepNext/>
        <w:keepLines/>
        <w:adjustRightInd w:val="0"/>
        <w:spacing w:line="360" w:lineRule="auto"/>
        <w:textAlignment w:val="baseline"/>
        <w:rPr>
          <w:sz w:val="24"/>
        </w:rPr>
      </w:pPr>
      <w:r>
        <w:rPr>
          <w:rFonts w:hint="eastAsia"/>
          <w:sz w:val="24"/>
        </w:rPr>
        <w:t>4、安装调试服务</w:t>
      </w:r>
    </w:p>
    <w:p>
      <w:pPr>
        <w:spacing w:line="360" w:lineRule="auto"/>
        <w:ind w:firstLine="480" w:firstLineChars="200"/>
        <w:rPr>
          <w:sz w:val="24"/>
          <w:highlight w:val="none"/>
        </w:rPr>
      </w:pPr>
      <w:r>
        <w:rPr>
          <w:rFonts w:hint="eastAsia"/>
          <w:sz w:val="24"/>
        </w:rPr>
        <w:t>供应商需完成本次项目所有设备的安装调试工作，达到整个系统稳定运行的要求。</w:t>
      </w:r>
      <w:r>
        <w:rPr>
          <w:rFonts w:hint="eastAsia"/>
          <w:sz w:val="24"/>
          <w:highlight w:val="none"/>
        </w:rPr>
        <w:t>本项目采购清单中的线材、辅料等</w:t>
      </w:r>
      <w:r>
        <w:rPr>
          <w:rFonts w:hint="eastAsia" w:ascii="宋体" w:hAnsi="宋体" w:cs="宋体"/>
          <w:sz w:val="24"/>
          <w:highlight w:val="none"/>
        </w:rPr>
        <w:t>数量仅做估值参考，具体用量以实际发生为准，费用需包含在本项目报价中，采购人不再支付除合同价款外的任何费用。</w:t>
      </w:r>
    </w:p>
    <w:p>
      <w:pPr>
        <w:keepNext/>
        <w:keepLines/>
        <w:adjustRightInd w:val="0"/>
        <w:spacing w:line="360" w:lineRule="auto"/>
        <w:textAlignment w:val="baseline"/>
        <w:rPr>
          <w:sz w:val="24"/>
        </w:rPr>
      </w:pPr>
      <w:r>
        <w:rPr>
          <w:rFonts w:hint="eastAsia"/>
          <w:sz w:val="24"/>
        </w:rPr>
        <w:t>5、施工及售后技术服务</w:t>
      </w:r>
    </w:p>
    <w:p>
      <w:pPr>
        <w:spacing w:line="360" w:lineRule="auto"/>
        <w:ind w:firstLine="360" w:firstLineChars="150"/>
        <w:rPr>
          <w:sz w:val="24"/>
        </w:rPr>
      </w:pPr>
      <w:r>
        <w:rPr>
          <w:rFonts w:hint="eastAsia"/>
          <w:sz w:val="24"/>
        </w:rPr>
        <w:t>1）供应商需提供详细的项目供货实施方案，安装进度保证措施及人员配备方案、售后服务承诺及详细方案、培训方案、</w:t>
      </w:r>
      <w:r>
        <w:rPr>
          <w:rFonts w:hint="eastAsia" w:ascii="宋体" w:hAnsi="宋体" w:cs="宋体"/>
          <w:sz w:val="24"/>
          <w:szCs w:val="21"/>
        </w:rPr>
        <w:t>应急保障（含疫情防控管理）措施方案等，保证本项目如期顺利进行</w:t>
      </w:r>
      <w:r>
        <w:rPr>
          <w:rFonts w:hint="eastAsia"/>
          <w:sz w:val="24"/>
        </w:rPr>
        <w:t>。</w:t>
      </w:r>
    </w:p>
    <w:p>
      <w:pPr>
        <w:spacing w:line="360" w:lineRule="auto"/>
        <w:ind w:firstLine="360" w:firstLineChars="150"/>
        <w:rPr>
          <w:sz w:val="24"/>
        </w:rPr>
      </w:pPr>
      <w:r>
        <w:rPr>
          <w:rFonts w:hint="eastAsia"/>
          <w:sz w:val="24"/>
        </w:rPr>
        <w:t>2）从项目开始起，供应商需允许采购人的工作人员参与有关设备的安装、调试、解决问题等各项工作，真正做到技术交底。</w:t>
      </w:r>
    </w:p>
    <w:p>
      <w:pPr>
        <w:spacing w:line="360" w:lineRule="auto"/>
        <w:ind w:firstLine="360" w:firstLineChars="150"/>
        <w:rPr>
          <w:sz w:val="24"/>
        </w:rPr>
      </w:pPr>
      <w:r>
        <w:rPr>
          <w:rFonts w:hint="eastAsia"/>
          <w:sz w:val="24"/>
        </w:rPr>
        <w:t>3）供应商需在项目完成时将全部相关技术资料、设备参数配置资料、测试记录、运行操作手册、维护手册、验收报告等文档汇集成册交付给采购人。</w:t>
      </w:r>
    </w:p>
    <w:p>
      <w:pPr>
        <w:pStyle w:val="34"/>
        <w:ind w:left="0" w:firstLine="480" w:firstLineChars="200"/>
      </w:pPr>
      <w:r>
        <w:rPr>
          <w:rFonts w:hint="eastAsia" w:ascii="宋体" w:hAnsi="宋体" w:cs="宋体"/>
          <w:sz w:val="24"/>
          <w:szCs w:val="21"/>
        </w:rPr>
        <w:t>4）供应商需提供免费的软件升级和技术支持服务。</w:t>
      </w:r>
    </w:p>
    <w:p>
      <w:pPr>
        <w:keepNext/>
        <w:keepLines/>
        <w:adjustRightInd w:val="0"/>
        <w:spacing w:line="360" w:lineRule="auto"/>
        <w:textAlignment w:val="baseline"/>
        <w:rPr>
          <w:sz w:val="24"/>
        </w:rPr>
      </w:pPr>
      <w:r>
        <w:rPr>
          <w:rFonts w:hint="eastAsia"/>
          <w:sz w:val="24"/>
        </w:rPr>
        <w:t>6、验收标准及程序</w:t>
      </w:r>
    </w:p>
    <w:p>
      <w:pPr>
        <w:spacing w:line="360" w:lineRule="auto"/>
        <w:ind w:firstLine="600" w:firstLineChars="250"/>
        <w:rPr>
          <w:rFonts w:ascii="宋体" w:hAnsi="宋体" w:cs="宋体"/>
          <w:sz w:val="24"/>
          <w:szCs w:val="21"/>
        </w:rPr>
      </w:pPr>
      <w:r>
        <w:rPr>
          <w:rFonts w:hint="eastAsia"/>
          <w:sz w:val="24"/>
        </w:rPr>
        <w:t>1）采购人在验收时将按照约定的验收标准、要求和程序对每一项技术、服务、安全标准的履约情况进行确认并出具总体评价。如磋商文件没有特殊要求，则验收时以供应商的响应文件及磋商文件的要求作为验收标准及依据，</w:t>
      </w:r>
      <w:r>
        <w:rPr>
          <w:rFonts w:hint="eastAsia" w:ascii="宋体" w:hAnsi="宋体" w:cs="宋体"/>
          <w:sz w:val="24"/>
          <w:szCs w:val="21"/>
        </w:rPr>
        <w:t>所提供的响应指标应不低于或优于上述所列的验收标准</w:t>
      </w:r>
      <w:r>
        <w:rPr>
          <w:rFonts w:hint="eastAsia"/>
          <w:sz w:val="24"/>
        </w:rPr>
        <w:t>。</w:t>
      </w:r>
      <w:r>
        <w:rPr>
          <w:rFonts w:hint="eastAsia" w:ascii="宋体" w:hAnsi="宋体" w:cs="宋体"/>
          <w:sz w:val="24"/>
          <w:szCs w:val="21"/>
        </w:rPr>
        <w:t>如验收时发现供应商存在提供虚假指标响应情况，采购人有权取消合同并依法追究供应商的违约责任，供应商需承担由此给采购人带来的一切经济损失。</w:t>
      </w:r>
    </w:p>
    <w:p>
      <w:pPr>
        <w:spacing w:line="360" w:lineRule="auto"/>
        <w:ind w:firstLine="360" w:firstLineChars="150"/>
        <w:rPr>
          <w:sz w:val="24"/>
        </w:rPr>
      </w:pPr>
      <w:r>
        <w:rPr>
          <w:rFonts w:hint="eastAsia" w:ascii="宋体" w:hAnsi="宋体" w:cs="宋体"/>
          <w:sz w:val="24"/>
          <w:szCs w:val="21"/>
        </w:rPr>
        <w:t>2）验收程序/要求：按照采购人验收流程要求进行验收。</w:t>
      </w:r>
    </w:p>
    <w:p>
      <w:pPr>
        <w:spacing w:line="360" w:lineRule="auto"/>
        <w:ind w:firstLine="360" w:firstLineChars="150"/>
        <w:rPr>
          <w:sz w:val="24"/>
        </w:rPr>
      </w:pPr>
      <w:r>
        <w:rPr>
          <w:rFonts w:hint="eastAsia"/>
          <w:sz w:val="24"/>
        </w:rPr>
        <w:t>采购人可以邀请参加本项目的其他供应商或者第三方机构或相关行业专家参与验收。参与验收的其他供应商或者第三方机构或相关行业专家的意见作为验收书的参考资料一并存档。</w:t>
      </w:r>
    </w:p>
    <w:p>
      <w:pPr>
        <w:keepNext/>
        <w:keepLines/>
        <w:adjustRightInd w:val="0"/>
        <w:spacing w:line="360" w:lineRule="auto"/>
        <w:textAlignment w:val="baseline"/>
        <w:rPr>
          <w:sz w:val="24"/>
        </w:rPr>
      </w:pPr>
      <w:r>
        <w:rPr>
          <w:rFonts w:hint="eastAsia"/>
          <w:sz w:val="24"/>
        </w:rPr>
        <w:t>7、售后服务要求</w:t>
      </w:r>
    </w:p>
    <w:p>
      <w:pPr>
        <w:snapToGrid w:val="0"/>
        <w:spacing w:line="360" w:lineRule="auto"/>
        <w:ind w:firstLine="360" w:firstLineChars="150"/>
        <w:rPr>
          <w:sz w:val="24"/>
        </w:rPr>
      </w:pPr>
      <w:r>
        <w:rPr>
          <w:rFonts w:hint="eastAsia"/>
          <w:sz w:val="24"/>
        </w:rPr>
        <w:t>1）所有设备的质保期自本项目验收合格之日起≥三年；</w:t>
      </w:r>
    </w:p>
    <w:p>
      <w:pPr>
        <w:snapToGrid w:val="0"/>
        <w:spacing w:line="360" w:lineRule="auto"/>
        <w:ind w:firstLine="360" w:firstLineChars="150"/>
        <w:rPr>
          <w:sz w:val="24"/>
        </w:rPr>
      </w:pPr>
      <w:r>
        <w:rPr>
          <w:rFonts w:hint="eastAsia"/>
          <w:sz w:val="24"/>
        </w:rPr>
        <w:t>2）</w:t>
      </w:r>
      <w:r>
        <w:rPr>
          <w:rFonts w:hint="eastAsia" w:ascii="宋体" w:hAnsi="宋体" w:cs="宋体"/>
          <w:sz w:val="24"/>
          <w:szCs w:val="21"/>
        </w:rPr>
        <w:t>供应商需向采购人提供长期的技术支持，有专门的7×12小时热线服务，包括：电话、在线客服、QQ、E-mail等形式，可随时记录及解答用户提出的问题，及时反馈信息；供应商在接到采购人系统设备发生故障的通知后，4小时内赶到现场，并向采购人提供故障解决方案，在24小时内解决问题，如需返厂维修，需提供样机以保障项目顺利进行；</w:t>
      </w:r>
    </w:p>
    <w:p>
      <w:pPr>
        <w:snapToGrid w:val="0"/>
        <w:spacing w:line="360" w:lineRule="auto"/>
        <w:ind w:firstLine="360" w:firstLineChars="150"/>
        <w:rPr>
          <w:sz w:val="24"/>
        </w:rPr>
      </w:pPr>
      <w:r>
        <w:rPr>
          <w:rFonts w:hint="eastAsia"/>
          <w:sz w:val="24"/>
        </w:rPr>
        <w:t>3）质保期内，供应商需免费上门服务、免费维修，免费更换设备，设备更换需在三天之内完成</w:t>
      </w:r>
      <w:r>
        <w:rPr>
          <w:rFonts w:hint="eastAsia" w:ascii="宋体" w:hAnsi="宋体" w:cs="宋体"/>
          <w:sz w:val="24"/>
          <w:szCs w:val="21"/>
        </w:rPr>
        <w:t>，供应商需自备安装调试及维修工具</w:t>
      </w:r>
      <w:r>
        <w:rPr>
          <w:rFonts w:hint="eastAsia"/>
          <w:sz w:val="24"/>
        </w:rPr>
        <w:t>。</w:t>
      </w:r>
    </w:p>
    <w:p>
      <w:pPr>
        <w:pStyle w:val="34"/>
        <w:spacing w:line="360" w:lineRule="auto"/>
        <w:ind w:left="0" w:firstLine="240" w:firstLineChars="100"/>
        <w:rPr>
          <w:rFonts w:ascii="宋体" w:hAnsi="宋体" w:cs="宋体"/>
          <w:sz w:val="24"/>
          <w:szCs w:val="21"/>
        </w:rPr>
      </w:pPr>
      <w:r>
        <w:rPr>
          <w:rFonts w:hint="eastAsia"/>
          <w:sz w:val="24"/>
          <w:szCs w:val="24"/>
        </w:rPr>
        <w:t>4）</w:t>
      </w:r>
      <w:r>
        <w:rPr>
          <w:rFonts w:hint="eastAsia" w:ascii="宋体" w:hAnsi="宋体" w:cs="宋体"/>
          <w:sz w:val="24"/>
          <w:szCs w:val="21"/>
        </w:rPr>
        <w:t>在质保期内，供应商需免费对产品进行全面的维护保养（每一年半一次）。</w:t>
      </w:r>
    </w:p>
    <w:p>
      <w:pPr>
        <w:spacing w:line="360" w:lineRule="auto"/>
        <w:ind w:firstLine="240" w:firstLineChars="100"/>
        <w:rPr>
          <w:rFonts w:ascii="宋体" w:hAnsi="宋体" w:cs="宋体"/>
          <w:sz w:val="24"/>
          <w:szCs w:val="21"/>
        </w:rPr>
      </w:pPr>
      <w:r>
        <w:rPr>
          <w:rFonts w:hint="eastAsia" w:ascii="宋体" w:hAnsi="宋体" w:cs="宋体"/>
          <w:sz w:val="24"/>
          <w:szCs w:val="21"/>
        </w:rPr>
        <w:t>5）当设备故障时，供应商需满足采购人对设备备品备件的替换需求，并保障配件的供应。</w:t>
      </w:r>
    </w:p>
    <w:p>
      <w:pPr>
        <w:pStyle w:val="34"/>
      </w:pPr>
    </w:p>
    <w:p>
      <w:pPr>
        <w:spacing w:line="360" w:lineRule="auto"/>
        <w:jc w:val="left"/>
        <w:rPr>
          <w:rFonts w:ascii="宋体" w:hAnsi="宋体" w:cs="宋体"/>
          <w:sz w:val="24"/>
          <w:szCs w:val="21"/>
        </w:rPr>
      </w:pPr>
      <w:r>
        <w:rPr>
          <w:rFonts w:hint="eastAsia" w:ascii="宋体" w:hAnsi="宋体" w:cs="宋体"/>
          <w:sz w:val="24"/>
          <w:szCs w:val="21"/>
        </w:rPr>
        <w:t>8、培训要求：</w:t>
      </w:r>
    </w:p>
    <w:p>
      <w:pPr>
        <w:spacing w:line="360" w:lineRule="auto"/>
        <w:ind w:firstLine="240" w:firstLineChars="100"/>
        <w:jc w:val="left"/>
        <w:rPr>
          <w:rFonts w:ascii="宋体" w:hAnsi="宋体" w:cs="宋体"/>
          <w:sz w:val="24"/>
          <w:szCs w:val="21"/>
        </w:rPr>
      </w:pPr>
      <w:r>
        <w:rPr>
          <w:rFonts w:hint="eastAsia" w:ascii="宋体" w:hAnsi="宋体" w:cs="宋体"/>
          <w:sz w:val="24"/>
          <w:szCs w:val="21"/>
        </w:rPr>
        <w:t xml:space="preserve"> 1）设备安装调试完成后，供应商需派技术人员对采购人的使用人员进行≥3天的培训，需免费提供操作手册、技术资料、培训课程或视频等参考资料。培训时间、地点、规模由采购人制定，供应商提前与采购人沟通后，可分期进行培训，场地、交通等与培训相关的费用均由投标人承担。</w:t>
      </w:r>
    </w:p>
    <w:p>
      <w:pPr>
        <w:spacing w:line="360" w:lineRule="auto"/>
        <w:ind w:firstLine="240" w:firstLineChars="100"/>
        <w:jc w:val="left"/>
        <w:rPr>
          <w:rFonts w:ascii="宋体" w:hAnsi="宋体" w:cs="宋体"/>
          <w:sz w:val="24"/>
          <w:szCs w:val="21"/>
        </w:rPr>
      </w:pPr>
      <w:r>
        <w:rPr>
          <w:rFonts w:hint="eastAsia" w:ascii="宋体" w:hAnsi="宋体" w:cs="宋体"/>
          <w:sz w:val="24"/>
          <w:szCs w:val="21"/>
        </w:rPr>
        <w:t>2）通过培训后，供应商需保证使用人员均能够熟练使用且可以独立完成全部流程操作。</w:t>
      </w:r>
    </w:p>
    <w:p>
      <w:pPr>
        <w:pStyle w:val="5"/>
      </w:pPr>
    </w:p>
    <w:p>
      <w:pPr>
        <w:spacing w:line="360" w:lineRule="auto"/>
        <w:outlineLvl w:val="0"/>
        <w:rPr>
          <w:rFonts w:hint="eastAsia" w:hAnsi="宋体"/>
        </w:rPr>
      </w:pPr>
      <w:r>
        <w:rPr>
          <w:b/>
          <w:sz w:val="36"/>
          <w:szCs w:val="36"/>
        </w:rPr>
        <w:br w:type="page"/>
      </w:r>
      <w:r>
        <w:rPr>
          <w:b/>
          <w:sz w:val="36"/>
          <w:szCs w:val="36"/>
        </w:rPr>
        <w:t>第五章   合同草案条款</w:t>
      </w:r>
      <w:bookmarkEnd w:id="640"/>
    </w:p>
    <w:p>
      <w:pPr>
        <w:keepNext/>
        <w:keepLines/>
        <w:pageBreakBefore w:val="0"/>
        <w:widowControl/>
        <w:kinsoku/>
        <w:wordWrap/>
        <w:overflowPunct/>
        <w:topLinePunct w:val="0"/>
        <w:autoSpaceDE w:val="0"/>
        <w:autoSpaceDN w:val="0"/>
        <w:bidi w:val="0"/>
        <w:adjustRightInd w:val="0"/>
        <w:snapToGrid/>
        <w:spacing w:before="0" w:after="0" w:line="240" w:lineRule="atLeast"/>
        <w:jc w:val="center"/>
        <w:textAlignment w:val="auto"/>
        <w:outlineLvl w:val="9"/>
        <w:rPr>
          <w:rFonts w:hint="eastAsia" w:hAnsi="宋体"/>
          <w:b/>
          <w:bCs/>
          <w:sz w:val="52"/>
          <w:szCs w:val="52"/>
        </w:rPr>
      </w:pPr>
    </w:p>
    <w:p>
      <w:pPr>
        <w:keepNext/>
        <w:keepLines/>
        <w:pageBreakBefore w:val="0"/>
        <w:widowControl/>
        <w:kinsoku/>
        <w:wordWrap/>
        <w:overflowPunct/>
        <w:topLinePunct w:val="0"/>
        <w:autoSpaceDE w:val="0"/>
        <w:autoSpaceDN w:val="0"/>
        <w:bidi w:val="0"/>
        <w:adjustRightInd w:val="0"/>
        <w:snapToGrid/>
        <w:spacing w:before="0" w:after="0" w:line="240" w:lineRule="atLeast"/>
        <w:jc w:val="center"/>
        <w:textAlignment w:val="auto"/>
        <w:outlineLvl w:val="9"/>
        <w:rPr>
          <w:rFonts w:hint="eastAsia" w:hAnsi="宋体"/>
          <w:sz w:val="52"/>
          <w:szCs w:val="52"/>
        </w:rPr>
      </w:pPr>
      <w:r>
        <w:rPr>
          <w:rFonts w:hint="eastAsia" w:hAnsi="宋体"/>
          <w:b/>
          <w:bCs/>
          <w:sz w:val="52"/>
          <w:szCs w:val="52"/>
        </w:rPr>
        <w:t>政府采购合同</w:t>
      </w:r>
    </w:p>
    <w:p>
      <w:pPr>
        <w:widowControl/>
        <w:spacing w:line="240" w:lineRule="atLeast"/>
        <w:ind w:firstLine="4320" w:firstLineChars="1350"/>
        <w:rPr>
          <w:rFonts w:hint="eastAsia" w:ascii="宋体" w:hAnsi="宋体"/>
          <w:sz w:val="32"/>
          <w:szCs w:val="32"/>
        </w:rPr>
      </w:pPr>
    </w:p>
    <w:p>
      <w:pPr>
        <w:widowControl/>
        <w:spacing w:line="240" w:lineRule="atLeast"/>
        <w:ind w:firstLine="5600" w:firstLineChars="1750"/>
        <w:rPr>
          <w:rFonts w:hint="eastAsia" w:ascii="宋体" w:hAnsi="宋体"/>
          <w:sz w:val="32"/>
          <w:szCs w:val="32"/>
          <w:u w:val="single"/>
        </w:rPr>
      </w:pPr>
      <w:r>
        <w:rPr>
          <w:rFonts w:hint="eastAsia" w:ascii="宋体" w:hAnsi="宋体"/>
          <w:sz w:val="32"/>
          <w:szCs w:val="32"/>
        </w:rPr>
        <w:t>合同编号：</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widowControl/>
        <w:spacing w:line="240" w:lineRule="atLeast"/>
        <w:rPr>
          <w:rFonts w:hint="eastAsia" w:ascii="宋体" w:hAnsi="宋体"/>
          <w:sz w:val="32"/>
          <w:szCs w:val="32"/>
        </w:rPr>
      </w:pPr>
      <w:bookmarkStart w:id="641" w:name="_Toc216513789"/>
    </w:p>
    <w:bookmarkEnd w:id="641"/>
    <w:p>
      <w:pPr>
        <w:spacing w:line="360" w:lineRule="auto"/>
        <w:ind w:left="0" w:leftChars="0" w:firstLine="419" w:firstLineChars="131"/>
        <w:rPr>
          <w:rFonts w:ascii="宋体" w:hAnsi="宋体"/>
          <w:sz w:val="32"/>
          <w:szCs w:val="32"/>
        </w:rPr>
      </w:pPr>
      <w:r>
        <w:rPr>
          <w:rFonts w:hint="eastAsia" w:ascii="宋体" w:hAnsi="宋体"/>
          <w:sz w:val="32"/>
          <w:szCs w:val="32"/>
        </w:rPr>
        <w:t>项目名称：</w:t>
      </w:r>
      <w:r>
        <w:rPr>
          <w:rFonts w:hint="eastAsia" w:ascii="宋体" w:hAnsi="宋体" w:eastAsia="宋体" w:cs="Times New Roman"/>
          <w:sz w:val="32"/>
          <w:szCs w:val="32"/>
          <w:u w:val="thick"/>
          <w:lang w:val="en-US" w:eastAsia="zh-CN"/>
        </w:rPr>
        <w:t xml:space="preserve">                         </w:t>
      </w:r>
      <w:r>
        <w:rPr>
          <w:rFonts w:hint="eastAsia" w:ascii="宋体" w:hAnsi="宋体"/>
          <w:sz w:val="32"/>
          <w:szCs w:val="32"/>
        </w:rPr>
        <w:t xml:space="preserve"> </w:t>
      </w:r>
    </w:p>
    <w:p>
      <w:pPr>
        <w:widowControl/>
        <w:spacing w:line="240" w:lineRule="atLeast"/>
        <w:ind w:firstLine="480" w:firstLineChars="150"/>
        <w:rPr>
          <w:rFonts w:hint="eastAsia" w:ascii="宋体" w:hAnsi="宋体" w:cs="宋体"/>
          <w:sz w:val="32"/>
          <w:szCs w:val="32"/>
          <w:u w:val="thick"/>
        </w:rPr>
      </w:pPr>
      <w:r>
        <w:rPr>
          <w:rFonts w:hint="eastAsia" w:ascii="宋体" w:hAnsi="宋体"/>
          <w:sz w:val="32"/>
          <w:szCs w:val="32"/>
        </w:rPr>
        <w:t>招标编号：</w:t>
      </w:r>
      <w:r>
        <w:rPr>
          <w:rFonts w:hint="eastAsia" w:ascii="宋体" w:hAnsi="宋体" w:eastAsia="宋体" w:cs="Times New Roman"/>
          <w:sz w:val="32"/>
          <w:szCs w:val="32"/>
          <w:u w:val="thick"/>
          <w:lang w:val="en-US" w:eastAsia="zh-CN"/>
        </w:rPr>
        <w:t xml:space="preserve">                         </w:t>
      </w:r>
    </w:p>
    <w:p>
      <w:pPr>
        <w:widowControl/>
        <w:spacing w:line="240" w:lineRule="atLeast"/>
        <w:ind w:left="993" w:leftChars="216" w:hanging="540"/>
        <w:rPr>
          <w:rFonts w:ascii="宋体" w:hAnsi="宋体"/>
          <w:sz w:val="32"/>
          <w:szCs w:val="32"/>
          <w:u w:val="single"/>
        </w:rPr>
      </w:pPr>
      <w:r>
        <w:rPr>
          <w:rFonts w:hint="eastAsia" w:ascii="宋体" w:hAnsi="宋体"/>
          <w:sz w:val="32"/>
          <w:szCs w:val="32"/>
        </w:rPr>
        <w:t>分</w:t>
      </w:r>
      <w:r>
        <w:rPr>
          <w:rFonts w:hint="eastAsia" w:ascii="宋体" w:hAnsi="宋体"/>
          <w:sz w:val="32"/>
          <w:szCs w:val="32"/>
          <w:lang w:val="en-US" w:eastAsia="zh-CN"/>
        </w:rPr>
        <w:t xml:space="preserve"> </w:t>
      </w:r>
      <w:r>
        <w:rPr>
          <w:rFonts w:hint="eastAsia" w:ascii="宋体" w:hAnsi="宋体"/>
          <w:sz w:val="32"/>
          <w:szCs w:val="32"/>
        </w:rPr>
        <w:t>包</w:t>
      </w:r>
      <w:r>
        <w:rPr>
          <w:rFonts w:hint="eastAsia" w:ascii="宋体" w:hAnsi="宋体"/>
          <w:sz w:val="32"/>
          <w:szCs w:val="32"/>
          <w:lang w:val="en-US" w:eastAsia="zh-CN"/>
        </w:rPr>
        <w:t xml:space="preserve"> </w:t>
      </w:r>
      <w:r>
        <w:rPr>
          <w:rFonts w:hint="eastAsia" w:ascii="宋体" w:hAnsi="宋体"/>
          <w:sz w:val="32"/>
          <w:szCs w:val="32"/>
        </w:rPr>
        <w:t>号：</w:t>
      </w:r>
      <w:r>
        <w:rPr>
          <w:rFonts w:hint="eastAsia" w:ascii="宋体" w:hAnsi="宋体"/>
          <w:sz w:val="32"/>
          <w:szCs w:val="32"/>
          <w:u w:val="thick"/>
        </w:rPr>
        <w:t xml:space="preserve">    </w:t>
      </w:r>
      <w:r>
        <w:rPr>
          <w:rFonts w:hint="eastAsia" w:ascii="宋体" w:hAnsi="宋体"/>
          <w:sz w:val="32"/>
          <w:szCs w:val="32"/>
          <w:u w:val="thick"/>
          <w:lang w:val="en-US" w:eastAsia="zh-CN"/>
        </w:rPr>
        <w:t>第  包（或整包）</w:t>
      </w:r>
      <w:r>
        <w:rPr>
          <w:rFonts w:hint="eastAsia" w:ascii="宋体" w:hAnsi="宋体"/>
          <w:sz w:val="32"/>
          <w:szCs w:val="32"/>
          <w:u w:val="thick"/>
        </w:rPr>
        <w:t xml:space="preserve"> </w:t>
      </w:r>
      <w:r>
        <w:rPr>
          <w:rFonts w:hint="eastAsia" w:ascii="宋体" w:hAnsi="宋体"/>
          <w:sz w:val="32"/>
          <w:szCs w:val="32"/>
          <w:u w:val="thick"/>
          <w:lang w:val="en-US" w:eastAsia="zh-CN"/>
        </w:rPr>
        <w:t xml:space="preserve">    </w:t>
      </w:r>
    </w:p>
    <w:p>
      <w:pPr>
        <w:widowControl/>
        <w:spacing w:line="720" w:lineRule="auto"/>
        <w:ind w:left="993" w:leftChars="216" w:hanging="540"/>
        <w:rPr>
          <w:rFonts w:hint="default" w:ascii="宋体" w:hAnsi="宋体"/>
          <w:sz w:val="32"/>
          <w:szCs w:val="32"/>
          <w:u w:val="single"/>
          <w:lang w:val="en-US"/>
        </w:rPr>
      </w:pPr>
      <w:r>
        <w:rPr>
          <w:rFonts w:hint="eastAsia" w:ascii="宋体" w:hAnsi="宋体"/>
          <w:sz w:val="32"/>
          <w:szCs w:val="32"/>
        </w:rPr>
        <w:t>货物名称：</w:t>
      </w:r>
      <w:r>
        <w:rPr>
          <w:rFonts w:hint="eastAsia" w:ascii="宋体" w:hAnsi="宋体" w:eastAsia="宋体" w:cs="Times New Roman"/>
          <w:sz w:val="32"/>
          <w:szCs w:val="32"/>
          <w:u w:val="thick"/>
          <w:lang w:val="en-US" w:eastAsia="zh-CN"/>
        </w:rPr>
        <w:t xml:space="preserve">                      </w:t>
      </w:r>
    </w:p>
    <w:p>
      <w:pPr>
        <w:adjustRightInd w:val="0"/>
        <w:snapToGrid w:val="0"/>
        <w:spacing w:line="720" w:lineRule="auto"/>
        <w:ind w:left="0" w:leftChars="0" w:firstLine="419" w:firstLineChars="131"/>
        <w:rPr>
          <w:rFonts w:hint="default"/>
          <w:sz w:val="24"/>
          <w:highlight w:val="none"/>
          <w:lang w:val="en-US" w:bidi="ar"/>
        </w:rPr>
      </w:pPr>
      <w:r>
        <w:rPr>
          <w:rFonts w:hint="eastAsia" w:ascii="宋体" w:hAnsi="宋体"/>
          <w:sz w:val="32"/>
          <w:szCs w:val="32"/>
        </w:rPr>
        <w:t>招标代理机构：</w:t>
      </w:r>
      <w:r>
        <w:rPr>
          <w:rFonts w:hint="eastAsia" w:ascii="宋体" w:hAnsi="宋体" w:eastAsia="宋体" w:cs="Times New Roman"/>
          <w:sz w:val="32"/>
          <w:szCs w:val="32"/>
          <w:u w:val="thick"/>
          <w:lang w:val="en-US" w:eastAsia="zh-CN"/>
        </w:rPr>
        <w:t xml:space="preserve">                   </w:t>
      </w:r>
    </w:p>
    <w:p>
      <w:pPr>
        <w:widowControl/>
        <w:spacing w:line="240" w:lineRule="atLeast"/>
        <w:rPr>
          <w:rFonts w:hint="eastAsia" w:ascii="宋体" w:hAnsi="宋体"/>
          <w:sz w:val="32"/>
          <w:szCs w:val="32"/>
        </w:rPr>
      </w:pPr>
    </w:p>
    <w:p>
      <w:pPr>
        <w:widowControl/>
        <w:spacing w:line="240" w:lineRule="atLeast"/>
        <w:ind w:firstLine="480" w:firstLineChars="150"/>
        <w:rPr>
          <w:rFonts w:ascii="宋体" w:hAnsi="宋体"/>
          <w:sz w:val="32"/>
          <w:szCs w:val="32"/>
        </w:rPr>
      </w:pPr>
      <w:r>
        <w:rPr>
          <w:rFonts w:hint="eastAsia" w:ascii="宋体" w:hAnsi="宋体"/>
          <w:sz w:val="32"/>
          <w:szCs w:val="32"/>
        </w:rPr>
        <w:t>买方（盖章）：</w:t>
      </w:r>
      <w:r>
        <w:rPr>
          <w:rFonts w:hint="eastAsia" w:ascii="宋体" w:hAnsi="宋体"/>
          <w:sz w:val="32"/>
          <w:szCs w:val="32"/>
          <w:u w:val="thick"/>
        </w:rPr>
        <w:t>北京市房山区教育委员会</w:t>
      </w:r>
      <w:r>
        <w:rPr>
          <w:rFonts w:hint="eastAsia" w:ascii="宋体" w:hAnsi="宋体"/>
          <w:sz w:val="32"/>
          <w:szCs w:val="32"/>
          <w:u w:val="thick"/>
          <w:lang w:val="en-US" w:eastAsia="zh-CN"/>
        </w:rPr>
        <w:t xml:space="preserve">  </w:t>
      </w:r>
      <w:r>
        <w:rPr>
          <w:rFonts w:hint="eastAsia" w:ascii="宋体" w:hAnsi="宋体"/>
          <w:sz w:val="32"/>
          <w:szCs w:val="32"/>
          <w:u w:val="thick"/>
        </w:rPr>
        <w:t xml:space="preserve"> </w:t>
      </w:r>
    </w:p>
    <w:p>
      <w:pPr>
        <w:widowControl/>
        <w:spacing w:line="240" w:lineRule="atLeast"/>
        <w:ind w:firstLine="480" w:firstLineChars="150"/>
        <w:rPr>
          <w:rFonts w:hint="eastAsia" w:ascii="宋体" w:hAnsi="宋体"/>
          <w:sz w:val="32"/>
          <w:szCs w:val="32"/>
        </w:rPr>
      </w:pPr>
    </w:p>
    <w:p>
      <w:pPr>
        <w:widowControl/>
        <w:spacing w:line="240" w:lineRule="atLeast"/>
        <w:ind w:firstLine="480" w:firstLineChars="150"/>
        <w:rPr>
          <w:rFonts w:hint="eastAsia" w:ascii="宋体" w:hAnsi="宋体"/>
          <w:sz w:val="32"/>
          <w:szCs w:val="32"/>
          <w:u w:val="thick"/>
        </w:rPr>
      </w:pPr>
      <w:r>
        <w:rPr>
          <w:rFonts w:hint="eastAsia" w:ascii="宋体" w:hAnsi="宋体"/>
          <w:sz w:val="32"/>
          <w:szCs w:val="32"/>
        </w:rPr>
        <w:t>卖方（盖章）：</w:t>
      </w:r>
      <w:r>
        <w:rPr>
          <w:rFonts w:hint="eastAsia" w:ascii="宋体" w:hAnsi="宋体" w:eastAsia="宋体" w:cs="Times New Roman"/>
          <w:sz w:val="32"/>
          <w:szCs w:val="32"/>
          <w:u w:val="thick"/>
          <w:lang w:val="en-US" w:eastAsia="zh-CN"/>
        </w:rPr>
        <w:t xml:space="preserve">                     </w:t>
      </w:r>
      <w:r>
        <w:rPr>
          <w:rFonts w:hint="eastAsia" w:ascii="宋体" w:hAnsi="宋体" w:eastAsia="宋体" w:cs="Times New Roman"/>
          <w:sz w:val="32"/>
          <w:szCs w:val="32"/>
          <w:u w:val="thick"/>
        </w:rPr>
        <w:t xml:space="preserve">   </w:t>
      </w:r>
    </w:p>
    <w:p>
      <w:pPr>
        <w:widowControl/>
        <w:spacing w:line="240" w:lineRule="atLeast"/>
        <w:ind w:firstLine="480" w:firstLineChars="150"/>
        <w:rPr>
          <w:rFonts w:hint="eastAsia" w:ascii="宋体" w:hAnsi="宋体"/>
          <w:sz w:val="32"/>
          <w:szCs w:val="32"/>
        </w:rPr>
      </w:pPr>
    </w:p>
    <w:p>
      <w:pPr>
        <w:widowControl/>
        <w:spacing w:line="240" w:lineRule="atLeast"/>
        <w:ind w:firstLine="480" w:firstLineChars="150"/>
        <w:rPr>
          <w:rFonts w:ascii="宋体" w:hAnsi="宋体"/>
          <w:sz w:val="32"/>
          <w:szCs w:val="32"/>
          <w:u w:val="thick"/>
        </w:rPr>
      </w:pPr>
      <w:r>
        <w:rPr>
          <w:rFonts w:hint="eastAsia" w:ascii="宋体" w:hAnsi="宋体"/>
          <w:sz w:val="32"/>
          <w:szCs w:val="32"/>
        </w:rPr>
        <w:t>签署地点：</w:t>
      </w:r>
      <w:r>
        <w:rPr>
          <w:rFonts w:hint="eastAsia" w:ascii="宋体" w:hAnsi="宋体"/>
          <w:sz w:val="32"/>
          <w:szCs w:val="32"/>
          <w:u w:val="thick"/>
        </w:rPr>
        <w:t xml:space="preserve">北京市房山区教育委员会      </w:t>
      </w:r>
    </w:p>
    <w:p>
      <w:pPr>
        <w:widowControl/>
        <w:spacing w:line="240" w:lineRule="atLeast"/>
        <w:ind w:firstLine="480" w:firstLineChars="150"/>
        <w:rPr>
          <w:rFonts w:hint="eastAsia" w:ascii="宋体" w:hAnsi="宋体"/>
          <w:sz w:val="32"/>
          <w:szCs w:val="32"/>
        </w:rPr>
      </w:pPr>
    </w:p>
    <w:p>
      <w:pPr>
        <w:widowControl/>
        <w:spacing w:line="240" w:lineRule="atLeast"/>
        <w:ind w:firstLine="480" w:firstLineChars="150"/>
        <w:rPr>
          <w:rFonts w:ascii="宋体" w:hAnsi="宋体"/>
          <w:sz w:val="32"/>
          <w:szCs w:val="32"/>
          <w:u w:val="thick"/>
        </w:rPr>
      </w:pPr>
      <w:r>
        <w:rPr>
          <w:rFonts w:hint="eastAsia" w:ascii="宋体" w:hAnsi="宋体"/>
          <w:sz w:val="32"/>
          <w:szCs w:val="32"/>
        </w:rPr>
        <w:t>签署日期：</w:t>
      </w:r>
      <w:r>
        <w:rPr>
          <w:rFonts w:hint="eastAsia" w:ascii="宋体" w:hAnsi="宋体"/>
          <w:sz w:val="32"/>
          <w:szCs w:val="32"/>
          <w:u w:val="thick"/>
          <w:lang w:val="en-US" w:eastAsia="zh-CN"/>
        </w:rPr>
        <w:t xml:space="preserve">     </w:t>
      </w:r>
      <w:r>
        <w:rPr>
          <w:rFonts w:hint="eastAsia" w:ascii="宋体" w:hAnsi="宋体"/>
          <w:sz w:val="32"/>
          <w:szCs w:val="32"/>
          <w:u w:val="thick"/>
        </w:rPr>
        <w:t xml:space="preserve">年 　月 　日  </w:t>
      </w:r>
    </w:p>
    <w:p>
      <w:pPr>
        <w:widowControl/>
        <w:spacing w:line="240" w:lineRule="atLeast"/>
        <w:jc w:val="center"/>
        <w:rPr>
          <w:rFonts w:hint="eastAsia" w:ascii="宋体" w:hAnsi="宋体"/>
          <w:b/>
          <w:sz w:val="32"/>
          <w:szCs w:val="32"/>
        </w:rPr>
        <w:sectPr>
          <w:headerReference r:id="rId11" w:type="default"/>
          <w:pgSz w:w="11906" w:h="16838"/>
          <w:pgMar w:top="1276" w:right="1134" w:bottom="1134" w:left="1134" w:header="851" w:footer="992" w:gutter="0"/>
          <w:pgNumType w:fmt="decimal"/>
          <w:cols w:space="720" w:num="1"/>
          <w:docGrid w:type="linesAndChars" w:linePitch="312" w:charSpace="0"/>
        </w:sectPr>
      </w:pPr>
      <w:bookmarkStart w:id="642" w:name="_Toc220229431"/>
      <w:bookmarkStart w:id="643" w:name="_Toc218935352"/>
      <w:bookmarkStart w:id="644" w:name="_Toc219175636"/>
      <w:bookmarkStart w:id="645" w:name="_Toc220229326"/>
    </w:p>
    <w:p>
      <w:pPr>
        <w:widowControl/>
        <w:spacing w:line="240" w:lineRule="atLeast"/>
        <w:jc w:val="center"/>
        <w:rPr>
          <w:rFonts w:hint="eastAsia" w:ascii="宋体" w:hAnsi="宋体"/>
          <w:b/>
          <w:sz w:val="32"/>
          <w:szCs w:val="32"/>
        </w:rPr>
      </w:pPr>
      <w:r>
        <w:rPr>
          <w:rFonts w:hint="eastAsia" w:ascii="宋体" w:hAnsi="宋体"/>
          <w:b/>
          <w:sz w:val="32"/>
          <w:szCs w:val="32"/>
        </w:rPr>
        <w:t>合　同　书</w:t>
      </w:r>
      <w:bookmarkEnd w:id="642"/>
      <w:bookmarkEnd w:id="643"/>
      <w:bookmarkEnd w:id="644"/>
      <w:bookmarkEnd w:id="645"/>
    </w:p>
    <w:p>
      <w:pPr>
        <w:pStyle w:val="44"/>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买方</w:t>
      </w:r>
      <w:r>
        <w:rPr>
          <w:rFonts w:hint="eastAsia" w:ascii="宋体" w:hAnsi="宋体" w:eastAsia="宋体" w:cs="Times New Roman"/>
          <w:sz w:val="24"/>
          <w:u w:val="single"/>
        </w:rPr>
        <w:t xml:space="preserve"> </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u w:val="single"/>
        </w:rPr>
        <w:t xml:space="preserve"> </w:t>
      </w:r>
      <w:r>
        <w:rPr>
          <w:rFonts w:hint="eastAsia" w:ascii="宋体" w:hAnsi="宋体" w:eastAsia="宋体" w:cs="Times New Roman"/>
          <w:sz w:val="24"/>
        </w:rPr>
        <w:t>的</w:t>
      </w:r>
      <w:r>
        <w:rPr>
          <w:rFonts w:hint="eastAsia" w:ascii="宋体" w:hAnsi="宋体" w:eastAsia="宋体" w:cs="Times New Roman"/>
          <w:sz w:val="24"/>
          <w:u w:val="single"/>
          <w:lang w:val="en-US" w:eastAsia="zh-CN"/>
        </w:rPr>
        <w:t xml:space="preserve">           项目 </w:t>
      </w:r>
      <w:r>
        <w:rPr>
          <w:rFonts w:hint="eastAsia" w:ascii="宋体" w:hAnsi="宋体" w:eastAsia="宋体" w:cs="Times New Roman"/>
          <w:sz w:val="24"/>
        </w:rPr>
        <w:t>所需货物经</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u w:val="single"/>
        </w:rPr>
        <w:t xml:space="preserve"> </w:t>
      </w:r>
      <w:r>
        <w:rPr>
          <w:rFonts w:hint="eastAsia" w:ascii="宋体" w:hAnsi="宋体" w:eastAsia="宋体" w:cs="Times New Roman"/>
          <w:sz w:val="24"/>
        </w:rPr>
        <w:t>以公开招标文件在国内</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招标。经评定，卖方</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为此招标项目第</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rPr>
        <w:t>包</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中标供应商。买、卖双方依据《中华人民共和国政府采购法》、《中华人民共和国民法典》，在平等自愿的基础上，同意按照下面的条款和条件，签署本合同。</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1.合同文件</w:t>
      </w:r>
    </w:p>
    <w:p>
      <w:pPr>
        <w:pageBreakBefore w:val="0"/>
        <w:widowControl/>
        <w:kinsoku/>
        <w:wordWrap/>
        <w:overflowPunct/>
        <w:topLinePunct w:val="0"/>
        <w:bidi w:val="0"/>
        <w:snapToGrid/>
        <w:spacing w:line="400" w:lineRule="exact"/>
        <w:ind w:firstLine="540" w:firstLineChars="225"/>
        <w:textAlignment w:val="auto"/>
        <w:rPr>
          <w:rFonts w:ascii="宋体" w:hAnsi="宋体"/>
          <w:sz w:val="24"/>
        </w:rPr>
      </w:pPr>
      <w:r>
        <w:rPr>
          <w:rFonts w:hint="eastAsia" w:ascii="宋体" w:hAnsi="宋体"/>
          <w:sz w:val="24"/>
        </w:rPr>
        <w:t>下列文件构成本合同的组成部分，应该认为是一个整体，彼此相互解释，相互补充。为便于解释，组成合同的多个文件的优先支配地位的次序如下：</w:t>
      </w:r>
    </w:p>
    <w:p>
      <w:pPr>
        <w:pageBreakBefore w:val="0"/>
        <w:widowControl/>
        <w:kinsoku/>
        <w:wordWrap/>
        <w:overflowPunct/>
        <w:topLinePunct w:val="0"/>
        <w:bidi w:val="0"/>
        <w:snapToGrid/>
        <w:spacing w:line="400" w:lineRule="exact"/>
        <w:ind w:left="1079" w:leftChars="257" w:hanging="540"/>
        <w:textAlignment w:val="auto"/>
        <w:rPr>
          <w:rFonts w:hint="eastAsia" w:ascii="宋体" w:hAnsi="宋体"/>
          <w:sz w:val="24"/>
        </w:rPr>
      </w:pPr>
      <w:r>
        <w:rPr>
          <w:rFonts w:ascii="宋体" w:hAnsi="宋体"/>
          <w:sz w:val="24"/>
        </w:rPr>
        <w:t>a.</w:t>
      </w:r>
      <w:r>
        <w:rPr>
          <w:rFonts w:hint="eastAsia" w:ascii="宋体" w:hAnsi="宋体"/>
          <w:sz w:val="24"/>
        </w:rPr>
        <w:t>本合同书　</w:t>
      </w:r>
    </w:p>
    <w:p>
      <w:pPr>
        <w:pageBreakBefore w:val="0"/>
        <w:widowControl/>
        <w:kinsoku/>
        <w:wordWrap/>
        <w:overflowPunct/>
        <w:topLinePunct w:val="0"/>
        <w:bidi w:val="0"/>
        <w:snapToGrid/>
        <w:spacing w:line="400" w:lineRule="exact"/>
        <w:ind w:left="1079" w:leftChars="257" w:hanging="540"/>
        <w:textAlignment w:val="auto"/>
        <w:rPr>
          <w:rFonts w:hint="eastAsia" w:ascii="宋体" w:hAnsi="宋体"/>
          <w:sz w:val="24"/>
        </w:rPr>
      </w:pPr>
      <w:r>
        <w:rPr>
          <w:rFonts w:ascii="宋体" w:hAnsi="宋体"/>
          <w:sz w:val="24"/>
        </w:rPr>
        <w:t>b.</w:t>
      </w:r>
      <w:r>
        <w:rPr>
          <w:rFonts w:hint="eastAsia" w:ascii="宋体" w:hAnsi="宋体"/>
          <w:sz w:val="24"/>
        </w:rPr>
        <w:t>中标通知书</w:t>
      </w:r>
    </w:p>
    <w:p>
      <w:pPr>
        <w:pageBreakBefore w:val="0"/>
        <w:widowControl/>
        <w:kinsoku/>
        <w:wordWrap/>
        <w:overflowPunct/>
        <w:topLinePunct w:val="0"/>
        <w:bidi w:val="0"/>
        <w:snapToGrid/>
        <w:spacing w:line="400" w:lineRule="exact"/>
        <w:ind w:left="1079" w:leftChars="257" w:hanging="540"/>
        <w:textAlignment w:val="auto"/>
        <w:rPr>
          <w:rFonts w:hint="eastAsia" w:ascii="宋体" w:hAnsi="宋体"/>
          <w:sz w:val="24"/>
        </w:rPr>
      </w:pPr>
      <w:r>
        <w:rPr>
          <w:rFonts w:ascii="宋体" w:hAnsi="宋体"/>
          <w:sz w:val="24"/>
        </w:rPr>
        <w:t>c.</w:t>
      </w:r>
      <w:r>
        <w:rPr>
          <w:rFonts w:hint="eastAsia" w:ascii="宋体" w:hAnsi="宋体"/>
          <w:sz w:val="24"/>
        </w:rPr>
        <w:t>合同专用条款</w:t>
      </w:r>
    </w:p>
    <w:p>
      <w:pPr>
        <w:pageBreakBefore w:val="0"/>
        <w:widowControl/>
        <w:kinsoku/>
        <w:wordWrap/>
        <w:overflowPunct/>
        <w:topLinePunct w:val="0"/>
        <w:bidi w:val="0"/>
        <w:snapToGrid/>
        <w:spacing w:line="400" w:lineRule="exact"/>
        <w:ind w:left="1079" w:leftChars="257" w:hanging="540"/>
        <w:textAlignment w:val="auto"/>
        <w:rPr>
          <w:rFonts w:ascii="宋体" w:hAnsi="宋体"/>
          <w:sz w:val="24"/>
        </w:rPr>
      </w:pPr>
      <w:r>
        <w:rPr>
          <w:rFonts w:ascii="宋体" w:hAnsi="宋体"/>
          <w:sz w:val="24"/>
        </w:rPr>
        <w:t>d.</w:t>
      </w:r>
      <w:r>
        <w:rPr>
          <w:rFonts w:hint="eastAsia" w:ascii="宋体" w:hAnsi="宋体"/>
          <w:sz w:val="24"/>
        </w:rPr>
        <w:t>合同一般条款</w:t>
      </w:r>
      <w:r>
        <w:rPr>
          <w:rFonts w:ascii="宋体" w:hAnsi="宋体"/>
          <w:sz w:val="24"/>
        </w:rPr>
        <w:tab/>
      </w:r>
      <w:r>
        <w:rPr>
          <w:rFonts w:ascii="宋体" w:hAnsi="宋体"/>
          <w:sz w:val="24"/>
        </w:rPr>
        <w:tab/>
      </w:r>
      <w:r>
        <w:rPr>
          <w:rFonts w:hint="eastAsia" w:ascii="宋体" w:hAnsi="宋体"/>
          <w:sz w:val="24"/>
        </w:rPr>
        <w:tab/>
      </w:r>
      <w:r>
        <w:rPr>
          <w:rFonts w:ascii="宋体" w:hAnsi="宋体"/>
          <w:sz w:val="24"/>
        </w:rPr>
        <w:tab/>
      </w:r>
    </w:p>
    <w:p>
      <w:pPr>
        <w:pageBreakBefore w:val="0"/>
        <w:widowControl/>
        <w:kinsoku/>
        <w:wordWrap/>
        <w:overflowPunct/>
        <w:topLinePunct w:val="0"/>
        <w:bidi w:val="0"/>
        <w:snapToGrid/>
        <w:spacing w:line="400" w:lineRule="exact"/>
        <w:ind w:left="1079" w:leftChars="257" w:hanging="540"/>
        <w:textAlignment w:val="auto"/>
        <w:rPr>
          <w:rFonts w:hint="eastAsia" w:ascii="宋体" w:hAnsi="宋体"/>
          <w:sz w:val="24"/>
        </w:rPr>
      </w:pPr>
      <w:r>
        <w:rPr>
          <w:rFonts w:ascii="宋体" w:hAnsi="宋体"/>
          <w:sz w:val="24"/>
        </w:rPr>
        <w:t>e.</w:t>
      </w:r>
      <w:r>
        <w:rPr>
          <w:rFonts w:hint="eastAsia" w:ascii="宋体" w:hAnsi="宋体"/>
          <w:sz w:val="24"/>
        </w:rPr>
        <w:t>投标文件(含澄清文件)</w:t>
      </w:r>
    </w:p>
    <w:p>
      <w:pPr>
        <w:pageBreakBefore w:val="0"/>
        <w:widowControl/>
        <w:kinsoku/>
        <w:wordWrap/>
        <w:overflowPunct/>
        <w:topLinePunct w:val="0"/>
        <w:bidi w:val="0"/>
        <w:snapToGrid/>
        <w:spacing w:line="400" w:lineRule="exact"/>
        <w:ind w:left="1079" w:leftChars="257" w:hanging="540"/>
        <w:textAlignment w:val="auto"/>
        <w:rPr>
          <w:rFonts w:hint="eastAsia" w:ascii="宋体" w:hAnsi="宋体"/>
          <w:sz w:val="24"/>
        </w:rPr>
      </w:pPr>
      <w:r>
        <w:rPr>
          <w:rFonts w:hint="eastAsia" w:ascii="宋体" w:hAnsi="宋体"/>
          <w:sz w:val="24"/>
        </w:rPr>
        <w:t>f</w:t>
      </w:r>
      <w:r>
        <w:rPr>
          <w:rFonts w:ascii="宋体" w:hAnsi="宋体"/>
          <w:sz w:val="24"/>
        </w:rPr>
        <w:t>.</w:t>
      </w:r>
      <w:r>
        <w:rPr>
          <w:rFonts w:hint="eastAsia" w:ascii="宋体" w:hAnsi="宋体"/>
          <w:sz w:val="24"/>
        </w:rPr>
        <w:t>招标文件</w:t>
      </w:r>
      <w:r>
        <w:rPr>
          <w:rFonts w:ascii="宋体" w:hAnsi="宋体"/>
          <w:sz w:val="24"/>
        </w:rPr>
        <w:t>(</w:t>
      </w:r>
      <w:r>
        <w:rPr>
          <w:rFonts w:hint="eastAsia" w:ascii="宋体" w:hAnsi="宋体"/>
          <w:sz w:val="24"/>
        </w:rPr>
        <w:t>含招标文件补充通知</w:t>
      </w:r>
      <w:r>
        <w:rPr>
          <w:rFonts w:ascii="宋体" w:hAnsi="宋体"/>
          <w:sz w:val="24"/>
        </w:rPr>
        <w:t>)</w:t>
      </w:r>
    </w:p>
    <w:p>
      <w:pPr>
        <w:pageBreakBefore w:val="0"/>
        <w:widowControl/>
        <w:kinsoku/>
        <w:wordWrap/>
        <w:overflowPunct/>
        <w:topLinePunct w:val="0"/>
        <w:bidi w:val="0"/>
        <w:snapToGrid/>
        <w:spacing w:after="240" w:line="400" w:lineRule="exact"/>
        <w:ind w:left="1079" w:leftChars="257" w:hanging="540"/>
        <w:textAlignment w:val="auto"/>
      </w:pPr>
      <w:r>
        <w:rPr>
          <w:rFonts w:hint="eastAsia" w:ascii="宋体" w:hAnsi="宋体"/>
          <w:b/>
          <w:sz w:val="24"/>
        </w:rPr>
        <w:t>2.货物和数量</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
        <w:gridCol w:w="3861"/>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jc w:val="center"/>
        </w:trPr>
        <w:tc>
          <w:tcPr>
            <w:tcW w:w="939" w:type="dxa"/>
            <w:noWrap w:val="0"/>
            <w:vAlign w:val="center"/>
          </w:tcPr>
          <w:p>
            <w:pPr>
              <w:pageBreakBefore w:val="0"/>
              <w:tabs>
                <w:tab w:val="left" w:pos="5580"/>
              </w:tabs>
              <w:kinsoku/>
              <w:wordWrap/>
              <w:overflowPunct/>
              <w:topLinePunct w:val="0"/>
              <w:bidi w:val="0"/>
              <w:snapToGrid/>
              <w:spacing w:line="400" w:lineRule="exact"/>
              <w:jc w:val="center"/>
              <w:textAlignment w:val="auto"/>
              <w:rPr>
                <w:rFonts w:ascii="宋体" w:hAnsi="宋体"/>
                <w:b/>
                <w:color w:val="auto"/>
                <w:sz w:val="24"/>
              </w:rPr>
            </w:pPr>
            <w:r>
              <w:rPr>
                <w:rFonts w:hint="eastAsia" w:ascii="宋体" w:hAnsi="宋体"/>
                <w:b/>
                <w:color w:val="auto"/>
                <w:sz w:val="24"/>
              </w:rPr>
              <w:t>序号</w:t>
            </w:r>
          </w:p>
        </w:tc>
        <w:tc>
          <w:tcPr>
            <w:tcW w:w="3861" w:type="dxa"/>
            <w:noWrap w:val="0"/>
            <w:vAlign w:val="center"/>
          </w:tcPr>
          <w:p>
            <w:pPr>
              <w:pageBreakBefore w:val="0"/>
              <w:tabs>
                <w:tab w:val="left" w:pos="5580"/>
              </w:tabs>
              <w:kinsoku/>
              <w:wordWrap/>
              <w:overflowPunct/>
              <w:topLinePunct w:val="0"/>
              <w:bidi w:val="0"/>
              <w:snapToGrid/>
              <w:spacing w:line="400" w:lineRule="exact"/>
              <w:jc w:val="center"/>
              <w:textAlignment w:val="auto"/>
              <w:rPr>
                <w:rFonts w:ascii="宋体" w:hAnsi="宋体"/>
                <w:b/>
                <w:color w:val="auto"/>
                <w:sz w:val="24"/>
              </w:rPr>
            </w:pPr>
            <w:r>
              <w:rPr>
                <w:rFonts w:hint="eastAsia" w:ascii="宋体" w:hAnsi="宋体"/>
                <w:b/>
                <w:color w:val="auto"/>
                <w:sz w:val="24"/>
              </w:rPr>
              <w:t>本合同货物</w:t>
            </w:r>
          </w:p>
        </w:tc>
        <w:tc>
          <w:tcPr>
            <w:tcW w:w="2438" w:type="dxa"/>
            <w:noWrap w:val="0"/>
            <w:vAlign w:val="center"/>
          </w:tcPr>
          <w:p>
            <w:pPr>
              <w:pageBreakBefore w:val="0"/>
              <w:tabs>
                <w:tab w:val="left" w:pos="5580"/>
              </w:tabs>
              <w:kinsoku/>
              <w:wordWrap/>
              <w:overflowPunct/>
              <w:topLinePunct w:val="0"/>
              <w:bidi w:val="0"/>
              <w:snapToGrid/>
              <w:spacing w:line="400" w:lineRule="exact"/>
              <w:jc w:val="center"/>
              <w:textAlignment w:val="auto"/>
              <w:rPr>
                <w:rFonts w:ascii="宋体" w:hAnsi="宋体"/>
                <w:b/>
                <w:color w:val="auto"/>
                <w:sz w:val="24"/>
              </w:rPr>
            </w:pPr>
            <w:r>
              <w:rPr>
                <w:rFonts w:hint="eastAsia" w:ascii="宋体" w:hAnsi="宋体"/>
                <w:b/>
                <w:color w:val="auto"/>
                <w:sz w:val="24"/>
              </w:rPr>
              <w:t>数量（</w:t>
            </w:r>
            <w:r>
              <w:rPr>
                <w:rFonts w:hint="eastAsia" w:ascii="宋体" w:hAnsi="宋体" w:cs="宋体"/>
                <w:b/>
                <w:color w:val="auto"/>
                <w:sz w:val="24"/>
              </w:rPr>
              <w:t>件套</w:t>
            </w:r>
            <w:r>
              <w:rPr>
                <w:rFonts w:hint="eastAsia" w:ascii="宋体" w:hAnsi="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939"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color w:val="auto"/>
                <w:sz w:val="24"/>
              </w:rPr>
            </w:pPr>
            <w:r>
              <w:rPr>
                <w:rFonts w:hint="eastAsia" w:ascii="宋体" w:hAnsi="宋体"/>
                <w:color w:val="auto"/>
                <w:sz w:val="24"/>
              </w:rPr>
              <w:t>1</w:t>
            </w:r>
          </w:p>
        </w:tc>
        <w:tc>
          <w:tcPr>
            <w:tcW w:w="3861"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eastAsia="宋体" w:cs="Times New Roman"/>
                <w:color w:val="auto"/>
                <w:sz w:val="24"/>
              </w:rPr>
            </w:pPr>
          </w:p>
        </w:tc>
        <w:tc>
          <w:tcPr>
            <w:tcW w:w="2438" w:type="dxa"/>
            <w:noWrap w:val="0"/>
            <w:vAlign w:val="center"/>
          </w:tcPr>
          <w:p>
            <w:pPr>
              <w:pageBreakBefore w:val="0"/>
              <w:kinsoku/>
              <w:wordWrap/>
              <w:overflowPunct/>
              <w:topLinePunct w:val="0"/>
              <w:bidi w:val="0"/>
              <w:snapToGrid/>
              <w:spacing w:line="400" w:lineRule="exact"/>
              <w:jc w:val="center"/>
              <w:textAlignment w:val="auto"/>
              <w:rPr>
                <w:rFonts w:hint="default" w:ascii="宋体" w:hAnsi="宋体" w:eastAsia="宋体"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939"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color w:val="auto"/>
                <w:sz w:val="24"/>
              </w:rPr>
            </w:pPr>
          </w:p>
        </w:tc>
        <w:tc>
          <w:tcPr>
            <w:tcW w:w="3861"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cs="Arial"/>
                <w:b/>
                <w:bCs/>
                <w:color w:val="auto"/>
                <w:kern w:val="0"/>
                <w:sz w:val="24"/>
              </w:rPr>
            </w:pPr>
            <w:r>
              <w:rPr>
                <w:rFonts w:hint="eastAsia" w:ascii="宋体" w:hAnsi="宋体" w:cs="Arial"/>
                <w:b/>
                <w:bCs/>
                <w:color w:val="auto"/>
                <w:kern w:val="0"/>
                <w:sz w:val="24"/>
              </w:rPr>
              <w:t>合计</w:t>
            </w:r>
          </w:p>
        </w:tc>
        <w:tc>
          <w:tcPr>
            <w:tcW w:w="2438" w:type="dxa"/>
            <w:noWrap w:val="0"/>
            <w:vAlign w:val="center"/>
          </w:tcPr>
          <w:p>
            <w:pPr>
              <w:pageBreakBefore w:val="0"/>
              <w:kinsoku/>
              <w:wordWrap/>
              <w:overflowPunct/>
              <w:topLinePunct w:val="0"/>
              <w:bidi w:val="0"/>
              <w:snapToGrid/>
              <w:spacing w:line="400" w:lineRule="exact"/>
              <w:jc w:val="center"/>
              <w:textAlignment w:val="auto"/>
              <w:rPr>
                <w:rFonts w:hint="default" w:ascii="宋体" w:hAnsi="宋体" w:eastAsia="宋体" w:cs="宋体"/>
                <w:b/>
                <w:color w:val="auto"/>
                <w:sz w:val="24"/>
                <w:lang w:val="en-US" w:eastAsia="zh-CN"/>
              </w:rPr>
            </w:pPr>
          </w:p>
        </w:tc>
      </w:tr>
    </w:tbl>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3.合同总价</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本合同总价暂定为（人民币）：</w:t>
      </w:r>
      <w:r>
        <w:rPr>
          <w:rFonts w:hint="eastAsia" w:ascii="宋体" w:hAnsi="宋体" w:eastAsia="宋体" w:cs="Times New Roman"/>
          <w:b/>
          <w:bCs/>
          <w:sz w:val="24"/>
          <w:u w:val="single"/>
          <w:lang w:val="en-US" w:eastAsia="zh-CN"/>
        </w:rPr>
        <w:t xml:space="preserve">         </w:t>
      </w:r>
      <w:r>
        <w:rPr>
          <w:rFonts w:hint="eastAsia" w:ascii="宋体" w:hAnsi="宋体" w:eastAsia="宋体" w:cs="Times New Roman"/>
          <w:b/>
          <w:bCs/>
          <w:sz w:val="24"/>
        </w:rPr>
        <w:t>元整（大写）</w:t>
      </w:r>
    </w:p>
    <w:p>
      <w:pPr>
        <w:keepNext w:val="0"/>
        <w:keepLines w:val="0"/>
        <w:pageBreakBefore w:val="0"/>
        <w:widowControl/>
        <w:kinsoku/>
        <w:wordWrap/>
        <w:overflowPunct/>
        <w:topLinePunct w:val="0"/>
        <w:autoSpaceDE/>
        <w:autoSpaceDN/>
        <w:bidi w:val="0"/>
        <w:adjustRightInd/>
        <w:snapToGrid/>
        <w:spacing w:line="200" w:lineRule="exact"/>
        <w:ind w:firstLine="3600" w:firstLineChars="1500"/>
        <w:textAlignment w:val="auto"/>
        <w:rPr>
          <w:rFonts w:hint="eastAsia" w:ascii="宋体" w:hAnsi="宋体" w:eastAsia="宋体" w:cs="Times New Roman"/>
          <w:b/>
          <w:bCs/>
          <w:sz w:val="24"/>
        </w:rPr>
      </w:pPr>
    </w:p>
    <w:p>
      <w:pPr>
        <w:pageBreakBefore w:val="0"/>
        <w:widowControl/>
        <w:kinsoku/>
        <w:wordWrap/>
        <w:overflowPunct/>
        <w:topLinePunct w:val="0"/>
        <w:bidi w:val="0"/>
        <w:snapToGrid/>
        <w:spacing w:line="400" w:lineRule="exact"/>
        <w:ind w:firstLine="3840" w:firstLineChars="1600"/>
        <w:textAlignment w:val="auto"/>
        <w:rPr>
          <w:rFonts w:hint="eastAsia" w:ascii="宋体" w:hAnsi="宋体" w:eastAsia="宋体" w:cs="Times New Roman"/>
          <w:b/>
          <w:bCs/>
          <w:sz w:val="24"/>
        </w:rPr>
      </w:pPr>
      <w:r>
        <w:rPr>
          <w:rFonts w:hint="eastAsia" w:ascii="宋体" w:hAnsi="宋体" w:eastAsia="宋体" w:cs="Times New Roman"/>
          <w:b/>
          <w:bCs/>
          <w:sz w:val="24"/>
          <w:u w:val="single"/>
        </w:rPr>
        <w:t>¥</w:t>
      </w:r>
      <w:r>
        <w:rPr>
          <w:rFonts w:hint="eastAsia" w:ascii="宋体" w:hAnsi="宋体" w:eastAsia="宋体" w:cs="宋体"/>
          <w:b/>
          <w:bCs/>
          <w:i w:val="0"/>
          <w:iCs w:val="0"/>
          <w:color w:val="auto"/>
          <w:kern w:val="0"/>
          <w:sz w:val="24"/>
          <w:szCs w:val="24"/>
          <w:u w:val="single"/>
          <w:lang w:val="en-US" w:eastAsia="zh-CN" w:bidi="ar"/>
        </w:rPr>
        <w:t xml:space="preserve">        </w:t>
      </w:r>
      <w:r>
        <w:rPr>
          <w:rFonts w:hint="eastAsia" w:ascii="宋体" w:hAnsi="宋体" w:eastAsia="宋体" w:cs="Times New Roman"/>
          <w:b/>
          <w:bCs/>
          <w:sz w:val="24"/>
        </w:rPr>
        <w:t>（小写）</w:t>
      </w:r>
    </w:p>
    <w:p>
      <w:pPr>
        <w:widowControl/>
        <w:spacing w:line="400" w:lineRule="exact"/>
        <w:ind w:firstLine="540" w:firstLineChars="225"/>
        <w:rPr>
          <w:rFonts w:hint="eastAsia" w:ascii="宋体" w:hAnsi="宋体" w:eastAsia="宋体" w:cs="Times New Roman"/>
          <w:b w:val="0"/>
          <w:bCs w:val="0"/>
          <w:color w:val="auto"/>
          <w:sz w:val="24"/>
        </w:rPr>
      </w:pPr>
      <w:r>
        <w:rPr>
          <w:rFonts w:hint="eastAsia" w:ascii="宋体" w:hAnsi="宋体" w:eastAsia="宋体" w:cs="Times New Roman"/>
          <w:b w:val="0"/>
          <w:bCs w:val="0"/>
          <w:color w:val="auto"/>
          <w:sz w:val="24"/>
          <w:lang w:val="en-US" w:eastAsia="zh-CN"/>
        </w:rPr>
        <w:t>本合同控制最高限价价款须不高于审计或财政评审结果，如果此后进行的财政评审结果低于本合同价款，则以财政评审结果为准；如果此前进行的财政评审结果高于本合同价款，则以本合同价款为准。</w:t>
      </w:r>
    </w:p>
    <w:p>
      <w:pPr>
        <w:pageBreakBefore w:val="0"/>
        <w:widowControl/>
        <w:kinsoku/>
        <w:wordWrap/>
        <w:overflowPunct/>
        <w:topLinePunct w:val="0"/>
        <w:bidi w:val="0"/>
        <w:snapToGrid/>
        <w:spacing w:line="400" w:lineRule="exact"/>
        <w:ind w:firstLine="540" w:firstLineChars="225"/>
        <w:textAlignment w:val="auto"/>
        <w:rPr>
          <w:rFonts w:hint="eastAsia"/>
          <w:sz w:val="24"/>
        </w:rPr>
      </w:pPr>
      <w:r>
        <w:rPr>
          <w:rFonts w:hint="eastAsia" w:ascii="宋体" w:hAnsi="宋体" w:eastAsia="宋体" w:cs="Times New Roman"/>
          <w:sz w:val="24"/>
        </w:rPr>
        <w:t>分</w:t>
      </w:r>
      <w:r>
        <w:rPr>
          <w:rFonts w:hint="eastAsia" w:ascii="宋体" w:hAnsi="宋体"/>
          <w:sz w:val="24"/>
        </w:rPr>
        <w:t>项价格：</w:t>
      </w:r>
      <w:r>
        <w:rPr>
          <w:rFonts w:hint="eastAsia" w:ascii="宋体" w:hAnsi="宋体"/>
          <w:bCs/>
          <w:sz w:val="24"/>
        </w:rPr>
        <w:t>详见附件1——合同货物清单及分项报价表</w:t>
      </w:r>
      <w:r>
        <w:rPr>
          <w:rFonts w:hint="eastAsia"/>
          <w:sz w:val="24"/>
        </w:rPr>
        <w:t>（本合同的组成部分，需注明货物名称、技术规格含品牌型号、原产地及制造商名称、单位、数量、单价、总价，并与卖方投标文件一致。其中商务性条款不必列出。）</w:t>
      </w:r>
    </w:p>
    <w:p>
      <w:pPr>
        <w:pageBreakBefore w:val="0"/>
        <w:widowControl/>
        <w:kinsoku/>
        <w:wordWrap/>
        <w:overflowPunct/>
        <w:topLinePunct w:val="0"/>
        <w:bidi w:val="0"/>
        <w:snapToGrid/>
        <w:spacing w:after="240" w:line="400" w:lineRule="exact"/>
        <w:ind w:left="1079" w:leftChars="257" w:hanging="540"/>
        <w:textAlignment w:val="auto"/>
        <w:rPr>
          <w:rFonts w:hint="eastAsia" w:ascii="宋体" w:hAnsi="宋体"/>
          <w:b/>
          <w:sz w:val="24"/>
        </w:rPr>
      </w:pPr>
      <w:r>
        <w:rPr>
          <w:rFonts w:hint="eastAsia" w:ascii="宋体" w:hAnsi="宋体"/>
          <w:b/>
          <w:sz w:val="24"/>
        </w:rPr>
        <w:t>4.付款方式</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180"/>
        <w:gridCol w:w="3183"/>
        <w:gridCol w:w="1636"/>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36" w:type="dxa"/>
            <w:shd w:val="clear" w:color="auto" w:fill="E0E0E0"/>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NO</w:t>
            </w:r>
          </w:p>
        </w:tc>
        <w:tc>
          <w:tcPr>
            <w:tcW w:w="2180" w:type="dxa"/>
            <w:shd w:val="clear" w:color="auto" w:fill="E0E0E0"/>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款项名称</w:t>
            </w:r>
          </w:p>
        </w:tc>
        <w:tc>
          <w:tcPr>
            <w:tcW w:w="3183" w:type="dxa"/>
            <w:shd w:val="clear" w:color="auto" w:fill="E0E0E0"/>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支付时间</w:t>
            </w:r>
          </w:p>
        </w:tc>
        <w:tc>
          <w:tcPr>
            <w:tcW w:w="1636" w:type="dxa"/>
            <w:shd w:val="clear" w:color="auto" w:fill="E0E0E0"/>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比例（%）</w:t>
            </w:r>
          </w:p>
        </w:tc>
        <w:tc>
          <w:tcPr>
            <w:tcW w:w="2119" w:type="dxa"/>
            <w:shd w:val="clear" w:color="auto" w:fill="E0E0E0"/>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36"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1</w:t>
            </w:r>
          </w:p>
        </w:tc>
        <w:tc>
          <w:tcPr>
            <w:tcW w:w="2180"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预付款</w:t>
            </w:r>
          </w:p>
        </w:tc>
        <w:tc>
          <w:tcPr>
            <w:tcW w:w="3183"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color w:val="auto"/>
                <w:szCs w:val="21"/>
              </w:rPr>
            </w:pPr>
            <w:r>
              <w:rPr>
                <w:rFonts w:hint="eastAsia" w:ascii="宋体" w:hAnsi="宋体"/>
                <w:b/>
                <w:color w:val="auto"/>
                <w:szCs w:val="21"/>
              </w:rPr>
              <w:t>签订采购合同</w:t>
            </w:r>
          </w:p>
          <w:p>
            <w:pPr>
              <w:pageBreakBefore w:val="0"/>
              <w:kinsoku/>
              <w:wordWrap/>
              <w:overflowPunct/>
              <w:topLinePunct w:val="0"/>
              <w:bidi w:val="0"/>
              <w:snapToGrid/>
              <w:spacing w:line="400" w:lineRule="exact"/>
              <w:jc w:val="center"/>
              <w:textAlignment w:val="auto"/>
              <w:rPr>
                <w:rFonts w:hint="eastAsia" w:ascii="宋体" w:hAnsi="宋体"/>
                <w:b/>
                <w:color w:val="auto"/>
                <w:szCs w:val="21"/>
              </w:rPr>
            </w:pPr>
            <w:r>
              <w:rPr>
                <w:rFonts w:hint="eastAsia" w:ascii="宋体" w:hAnsi="宋体"/>
                <w:b/>
                <w:color w:val="auto"/>
                <w:szCs w:val="21"/>
              </w:rPr>
              <w:t>并通过资金拨付程序后</w:t>
            </w:r>
          </w:p>
        </w:tc>
        <w:tc>
          <w:tcPr>
            <w:tcW w:w="1636"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highlight w:val="none"/>
              </w:rPr>
            </w:pPr>
            <w:r>
              <w:rPr>
                <w:rFonts w:hint="eastAsia" w:ascii="宋体" w:hAnsi="宋体"/>
                <w:b/>
                <w:sz w:val="24"/>
                <w:highlight w:val="none"/>
                <w:lang w:val="en-US" w:eastAsia="zh-CN"/>
              </w:rPr>
              <w:t>50</w:t>
            </w:r>
            <w:r>
              <w:rPr>
                <w:rFonts w:hint="eastAsia" w:ascii="宋体" w:hAnsi="宋体"/>
                <w:b/>
                <w:sz w:val="24"/>
                <w:highlight w:val="none"/>
              </w:rPr>
              <w:t>%</w:t>
            </w:r>
          </w:p>
        </w:tc>
        <w:tc>
          <w:tcPr>
            <w:tcW w:w="2119" w:type="dxa"/>
            <w:noWrap w:val="0"/>
            <w:vAlign w:val="center"/>
          </w:tcPr>
          <w:p>
            <w:pPr>
              <w:pageBreakBefore w:val="0"/>
              <w:kinsoku/>
              <w:wordWrap/>
              <w:overflowPunct/>
              <w:topLinePunct w:val="0"/>
              <w:bidi w:val="0"/>
              <w:snapToGrid/>
              <w:spacing w:line="400" w:lineRule="exact"/>
              <w:jc w:val="center"/>
              <w:textAlignment w:val="auto"/>
              <w:rPr>
                <w:rFonts w:hint="default" w:ascii="宋体" w:hAnsi="宋体" w:eastAsia="宋体" w:cs="Times New Roman"/>
                <w:b/>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36"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2</w:t>
            </w:r>
          </w:p>
        </w:tc>
        <w:tc>
          <w:tcPr>
            <w:tcW w:w="2180"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余  款</w:t>
            </w:r>
          </w:p>
        </w:tc>
        <w:tc>
          <w:tcPr>
            <w:tcW w:w="3183"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color w:val="auto"/>
                <w:szCs w:val="21"/>
              </w:rPr>
            </w:pPr>
            <w:r>
              <w:rPr>
                <w:rFonts w:hint="eastAsia" w:ascii="宋体" w:hAnsi="宋体"/>
                <w:b/>
                <w:color w:val="auto"/>
                <w:szCs w:val="21"/>
              </w:rPr>
              <w:t>项目整体验收合格</w:t>
            </w:r>
          </w:p>
          <w:p>
            <w:pPr>
              <w:pageBreakBefore w:val="0"/>
              <w:kinsoku/>
              <w:wordWrap/>
              <w:overflowPunct/>
              <w:topLinePunct w:val="0"/>
              <w:bidi w:val="0"/>
              <w:snapToGrid/>
              <w:spacing w:line="400" w:lineRule="exact"/>
              <w:jc w:val="center"/>
              <w:textAlignment w:val="auto"/>
              <w:rPr>
                <w:rFonts w:hint="eastAsia" w:ascii="宋体" w:hAnsi="宋体"/>
                <w:b/>
                <w:color w:val="auto"/>
                <w:szCs w:val="21"/>
              </w:rPr>
            </w:pPr>
            <w:r>
              <w:rPr>
                <w:rFonts w:hint="eastAsia" w:ascii="宋体" w:hAnsi="宋体"/>
                <w:b/>
                <w:color w:val="auto"/>
                <w:szCs w:val="21"/>
              </w:rPr>
              <w:t>并通过资金拨付程序后</w:t>
            </w:r>
          </w:p>
        </w:tc>
        <w:tc>
          <w:tcPr>
            <w:tcW w:w="1636"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highlight w:val="none"/>
              </w:rPr>
            </w:pPr>
            <w:r>
              <w:rPr>
                <w:rFonts w:hint="eastAsia" w:ascii="宋体" w:hAnsi="宋体"/>
                <w:b/>
                <w:sz w:val="24"/>
                <w:highlight w:val="none"/>
                <w:lang w:val="en-US" w:eastAsia="zh-CN"/>
              </w:rPr>
              <w:t>50</w:t>
            </w:r>
            <w:r>
              <w:rPr>
                <w:rFonts w:hint="eastAsia" w:ascii="宋体" w:hAnsi="宋体"/>
                <w:b/>
                <w:sz w:val="24"/>
                <w:highlight w:val="none"/>
              </w:rPr>
              <w:t>%</w:t>
            </w:r>
          </w:p>
        </w:tc>
        <w:tc>
          <w:tcPr>
            <w:tcW w:w="2119" w:type="dxa"/>
            <w:noWrap w:val="0"/>
            <w:vAlign w:val="center"/>
          </w:tcPr>
          <w:p>
            <w:pPr>
              <w:pageBreakBefore w:val="0"/>
              <w:kinsoku/>
              <w:wordWrap/>
              <w:overflowPunct/>
              <w:topLinePunct w:val="0"/>
              <w:bidi w:val="0"/>
              <w:snapToGrid/>
              <w:spacing w:line="400" w:lineRule="exact"/>
              <w:jc w:val="center"/>
              <w:textAlignment w:val="auto"/>
              <w:rPr>
                <w:rFonts w:hint="default" w:ascii="宋体" w:hAnsi="宋体" w:eastAsia="宋体" w:cs="Times New Roman"/>
                <w:b/>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916" w:type="dxa"/>
            <w:gridSpan w:val="2"/>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合计（人民币大写）</w:t>
            </w:r>
          </w:p>
        </w:tc>
        <w:tc>
          <w:tcPr>
            <w:tcW w:w="6938" w:type="dxa"/>
            <w:gridSpan w:val="3"/>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cs="宋体"/>
                <w:b/>
                <w:sz w:val="24"/>
                <w:highlight w:val="none"/>
                <w:u w:val="none"/>
              </w:rPr>
              <w:t>元整</w:t>
            </w:r>
          </w:p>
        </w:tc>
      </w:tr>
    </w:tbl>
    <w:p>
      <w:pPr>
        <w:pageBreakBefore w:val="0"/>
        <w:widowControl/>
        <w:kinsoku/>
        <w:wordWrap/>
        <w:overflowPunct/>
        <w:topLinePunct w:val="0"/>
        <w:bidi w:val="0"/>
        <w:snapToGrid/>
        <w:spacing w:line="400" w:lineRule="exact"/>
        <w:ind w:left="1079" w:leftChars="257" w:hanging="540"/>
        <w:textAlignment w:val="auto"/>
        <w:rPr>
          <w:rFonts w:ascii="宋体" w:hAnsi="宋体"/>
          <w:b/>
          <w:sz w:val="24"/>
        </w:rPr>
      </w:pPr>
      <w:r>
        <w:rPr>
          <w:rFonts w:hint="eastAsia" w:ascii="宋体" w:hAnsi="宋体"/>
          <w:b/>
          <w:sz w:val="24"/>
        </w:rPr>
        <w:t>5.本合同货物的交货时间及交货地点</w:t>
      </w:r>
    </w:p>
    <w:p>
      <w:pPr>
        <w:pageBreakBefore w:val="0"/>
        <w:widowControl/>
        <w:kinsoku/>
        <w:wordWrap/>
        <w:overflowPunct/>
        <w:topLinePunct w:val="0"/>
        <w:bidi w:val="0"/>
        <w:snapToGrid/>
        <w:spacing w:line="400" w:lineRule="exact"/>
        <w:ind w:left="1079" w:leftChars="257" w:hanging="540"/>
        <w:textAlignment w:val="auto"/>
        <w:rPr>
          <w:rFonts w:hint="default" w:ascii="宋体" w:hAnsi="宋体"/>
          <w:sz w:val="24"/>
          <w:u w:val="single"/>
          <w:lang w:val="en-US" w:eastAsia="zh-CN"/>
        </w:rPr>
      </w:pPr>
      <w:r>
        <w:rPr>
          <w:rFonts w:hint="eastAsia" w:ascii="宋体" w:hAnsi="宋体"/>
          <w:sz w:val="24"/>
        </w:rPr>
        <w:t>交货时间：</w:t>
      </w:r>
      <w:r>
        <w:rPr>
          <w:rFonts w:hint="eastAsia" w:ascii="宋体" w:hAnsi="宋体"/>
          <w:sz w:val="24"/>
          <w:u w:val="single"/>
          <w:lang w:val="en-US" w:eastAsia="zh-CN"/>
        </w:rPr>
        <w:t xml:space="preserve"> </w:t>
      </w:r>
      <w:r>
        <w:rPr>
          <w:rFonts w:hint="eastAsia" w:ascii="宋体" w:hAnsi="宋体" w:cs="宋体"/>
          <w:sz w:val="24"/>
          <w:highlight w:val="none"/>
          <w:u w:val="single"/>
          <w:lang w:val="en-US" w:eastAsia="zh-CN"/>
        </w:rPr>
        <w:t xml:space="preserve">               </w:t>
      </w:r>
    </w:p>
    <w:p>
      <w:pPr>
        <w:pageBreakBefore w:val="0"/>
        <w:widowControl/>
        <w:kinsoku/>
        <w:wordWrap/>
        <w:overflowPunct/>
        <w:topLinePunct w:val="0"/>
        <w:bidi w:val="0"/>
        <w:snapToGrid/>
        <w:spacing w:line="400" w:lineRule="exact"/>
        <w:ind w:left="1079" w:leftChars="257" w:hanging="540"/>
        <w:textAlignment w:val="auto"/>
        <w:rPr>
          <w:rFonts w:ascii="宋体" w:hAnsi="宋体"/>
          <w:sz w:val="24"/>
        </w:rPr>
      </w:pPr>
      <w:r>
        <w:rPr>
          <w:rFonts w:hint="eastAsia" w:ascii="宋体" w:hAnsi="宋体"/>
          <w:sz w:val="24"/>
        </w:rPr>
        <w:t>交货地点：</w:t>
      </w:r>
      <w:r>
        <w:rPr>
          <w:rFonts w:hint="eastAsia" w:ascii="宋体" w:hAnsi="宋体"/>
          <w:sz w:val="24"/>
          <w:u w:val="single"/>
          <w:lang w:val="en-US" w:eastAsia="zh-CN"/>
        </w:rPr>
        <w:t xml:space="preserve">                </w:t>
      </w:r>
    </w:p>
    <w:p>
      <w:pPr>
        <w:pageBreakBefore w:val="0"/>
        <w:widowControl/>
        <w:kinsoku/>
        <w:wordWrap/>
        <w:overflowPunct/>
        <w:topLinePunct w:val="0"/>
        <w:bidi w:val="0"/>
        <w:snapToGrid/>
        <w:spacing w:line="400" w:lineRule="exact"/>
        <w:ind w:left="1079" w:leftChars="257" w:hanging="540"/>
        <w:textAlignment w:val="auto"/>
        <w:rPr>
          <w:rFonts w:ascii="宋体" w:hAnsi="宋体"/>
          <w:b/>
          <w:sz w:val="24"/>
        </w:rPr>
      </w:pPr>
      <w:r>
        <w:rPr>
          <w:rFonts w:hint="eastAsia" w:ascii="宋体" w:hAnsi="宋体"/>
          <w:b/>
          <w:sz w:val="24"/>
        </w:rPr>
        <w:t>6.合同的生效。</w:t>
      </w:r>
    </w:p>
    <w:p>
      <w:pPr>
        <w:pageBreakBefore w:val="0"/>
        <w:widowControl/>
        <w:kinsoku/>
        <w:wordWrap/>
        <w:overflowPunct/>
        <w:topLinePunct w:val="0"/>
        <w:bidi w:val="0"/>
        <w:snapToGrid/>
        <w:spacing w:line="400" w:lineRule="exact"/>
        <w:ind w:firstLine="540"/>
        <w:textAlignment w:val="auto"/>
        <w:rPr>
          <w:rFonts w:hint="eastAsia" w:ascii="宋体" w:hAnsi="宋体"/>
          <w:sz w:val="24"/>
        </w:rPr>
      </w:pPr>
      <w:r>
        <w:rPr>
          <w:rFonts w:hint="eastAsia" w:ascii="宋体" w:hAnsi="宋体"/>
          <w:sz w:val="24"/>
        </w:rPr>
        <w:t>本合同经双</w:t>
      </w:r>
      <w:r>
        <w:rPr>
          <w:rFonts w:hint="eastAsia" w:ascii="宋体" w:hAnsi="宋体"/>
          <w:color w:val="000000"/>
          <w:sz w:val="24"/>
        </w:rPr>
        <w:t>方授权代表签署、加盖单位印章并由卖方递交履约保证金后生效。就本合同，以下为双方签字、盖章并登</w:t>
      </w:r>
      <w:r>
        <w:rPr>
          <w:rFonts w:hint="eastAsia" w:ascii="宋体" w:hAnsi="宋体"/>
          <w:sz w:val="24"/>
        </w:rPr>
        <w:t>记相关信息：</w:t>
      </w:r>
    </w:p>
    <w:p>
      <w:pPr>
        <w:pStyle w:val="44"/>
        <w:rPr>
          <w:rFonts w:hint="eastAsia" w:ascii="宋体" w:hAnsi="宋体"/>
          <w:sz w:val="24"/>
        </w:rPr>
      </w:pPr>
    </w:p>
    <w:p>
      <w:pPr>
        <w:rPr>
          <w:rFonts w:hint="eastAsia"/>
        </w:rPr>
      </w:pPr>
    </w:p>
    <w:p>
      <w:pPr>
        <w:pageBreakBefore w:val="0"/>
        <w:widowControl/>
        <w:tabs>
          <w:tab w:val="left" w:pos="540"/>
        </w:tabs>
        <w:kinsoku/>
        <w:wordWrap/>
        <w:overflowPunct/>
        <w:topLinePunct w:val="0"/>
        <w:bidi w:val="0"/>
        <w:snapToGrid/>
        <w:spacing w:line="400" w:lineRule="exact"/>
        <w:textAlignment w:val="auto"/>
        <w:rPr>
          <w:rFonts w:hint="eastAsia" w:ascii="仿宋" w:hAnsi="仿宋" w:eastAsia="仿宋"/>
          <w:b/>
          <w:sz w:val="28"/>
          <w:szCs w:val="28"/>
        </w:rPr>
      </w:pPr>
    </w:p>
    <w:p>
      <w:pPr>
        <w:pageBreakBefore w:val="0"/>
        <w:widowControl/>
        <w:tabs>
          <w:tab w:val="left" w:pos="540"/>
        </w:tabs>
        <w:kinsoku/>
        <w:wordWrap/>
        <w:overflowPunct/>
        <w:topLinePunct w:val="0"/>
        <w:bidi w:val="0"/>
        <w:snapToGrid/>
        <w:spacing w:line="400" w:lineRule="exact"/>
        <w:textAlignment w:val="auto"/>
        <w:rPr>
          <w:rFonts w:hint="default" w:ascii="仿宋" w:hAnsi="仿宋" w:eastAsia="仿宋"/>
          <w:b/>
          <w:sz w:val="28"/>
          <w:szCs w:val="28"/>
          <w:u w:val="single"/>
          <w:lang w:val="en-US" w:eastAsia="zh-CN"/>
        </w:rPr>
      </w:pPr>
      <w:r>
        <w:rPr>
          <w:rFonts w:hint="eastAsia" w:ascii="仿宋" w:hAnsi="仿宋" w:eastAsia="仿宋"/>
          <w:b/>
          <w:sz w:val="28"/>
          <w:szCs w:val="28"/>
        </w:rPr>
        <w:t>买方（盖章）：</w:t>
      </w:r>
      <w:r>
        <w:rPr>
          <w:rFonts w:hint="eastAsia" w:ascii="仿宋" w:hAnsi="仿宋" w:eastAsia="仿宋"/>
          <w:b/>
          <w:sz w:val="28"/>
          <w:szCs w:val="28"/>
          <w:u w:val="single"/>
        </w:rPr>
        <w:t>北京市房山区教育委员会</w:t>
      </w:r>
      <w:r>
        <w:rPr>
          <w:rFonts w:hint="eastAsia" w:ascii="仿宋" w:hAnsi="仿宋" w:eastAsia="仿宋"/>
          <w:b/>
          <w:sz w:val="28"/>
          <w:szCs w:val="28"/>
          <w:u w:val="single"/>
          <w:lang w:val="en-US" w:eastAsia="zh-CN"/>
        </w:rPr>
        <w:t xml:space="preserve">                   </w:t>
      </w:r>
    </w:p>
    <w:p>
      <w:pPr>
        <w:pageBreakBefore w:val="0"/>
        <w:widowControl/>
        <w:tabs>
          <w:tab w:val="left" w:pos="540"/>
        </w:tabs>
        <w:kinsoku/>
        <w:wordWrap/>
        <w:overflowPunct/>
        <w:topLinePunct w:val="0"/>
        <w:bidi w:val="0"/>
        <w:snapToGrid/>
        <w:spacing w:line="400" w:lineRule="exact"/>
        <w:textAlignment w:val="auto"/>
        <w:rPr>
          <w:rFonts w:hint="eastAsia" w:ascii="仿宋" w:hAnsi="仿宋" w:eastAsia="仿宋"/>
          <w:b/>
          <w:sz w:val="28"/>
          <w:szCs w:val="28"/>
        </w:rPr>
      </w:pPr>
      <w:r>
        <w:rPr>
          <w:rFonts w:hint="eastAsia" w:ascii="仿宋" w:hAnsi="仿宋" w:eastAsia="仿宋"/>
          <w:b/>
          <w:sz w:val="28"/>
          <w:szCs w:val="28"/>
        </w:rPr>
        <w:t xml:space="preserve">　          </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b/>
          <w:sz w:val="28"/>
          <w:szCs w:val="28"/>
          <w:u w:val="single"/>
        </w:rPr>
      </w:pPr>
      <w:r>
        <w:rPr>
          <w:rFonts w:hint="eastAsia" w:ascii="仿宋" w:hAnsi="仿宋" w:eastAsia="仿宋"/>
          <w:b/>
          <w:sz w:val="28"/>
          <w:szCs w:val="28"/>
        </w:rPr>
        <w:t>授权代表(签字)：</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w:t>
      </w:r>
    </w:p>
    <w:p>
      <w:pPr>
        <w:keepNext w:val="0"/>
        <w:keepLines w:val="0"/>
        <w:pageBreakBefore w:val="0"/>
        <w:widowControl/>
        <w:tabs>
          <w:tab w:val="left" w:pos="540"/>
        </w:tabs>
        <w:kinsoku/>
        <w:wordWrap/>
        <w:overflowPunct/>
        <w:topLinePunct w:val="0"/>
        <w:autoSpaceDE/>
        <w:autoSpaceDN/>
        <w:bidi w:val="0"/>
        <w:adjustRightInd/>
        <w:snapToGrid/>
        <w:spacing w:line="500" w:lineRule="exact"/>
        <w:textAlignment w:val="auto"/>
        <w:rPr>
          <w:rFonts w:hint="eastAsia" w:ascii="仿宋" w:hAnsi="仿宋" w:eastAsia="仿宋"/>
          <w:b/>
          <w:sz w:val="28"/>
          <w:szCs w:val="28"/>
          <w:u w:val="single"/>
        </w:rPr>
      </w:pPr>
      <w:r>
        <w:rPr>
          <w:rFonts w:hint="eastAsia" w:ascii="仿宋" w:hAnsi="仿宋" w:eastAsia="仿宋"/>
          <w:b/>
          <w:sz w:val="28"/>
          <w:szCs w:val="28"/>
        </w:rPr>
        <w:t>地　　址：</w:t>
      </w:r>
      <w:r>
        <w:rPr>
          <w:rFonts w:hint="eastAsia" w:ascii="仿宋" w:hAnsi="仿宋" w:eastAsia="仿宋"/>
          <w:b/>
          <w:sz w:val="28"/>
          <w:szCs w:val="28"/>
          <w:u w:val="single"/>
        </w:rPr>
        <w:t>北京市房山区良乡西路9号</w:t>
      </w:r>
    </w:p>
    <w:p>
      <w:pPr>
        <w:keepNext w:val="0"/>
        <w:keepLines w:val="0"/>
        <w:pageBreakBefore w:val="0"/>
        <w:widowControl/>
        <w:tabs>
          <w:tab w:val="left" w:pos="540"/>
        </w:tabs>
        <w:kinsoku/>
        <w:wordWrap/>
        <w:overflowPunct/>
        <w:topLinePunct w:val="0"/>
        <w:autoSpaceDE/>
        <w:autoSpaceDN/>
        <w:bidi w:val="0"/>
        <w:adjustRightInd/>
        <w:snapToGrid/>
        <w:spacing w:line="500" w:lineRule="exact"/>
        <w:textAlignment w:val="auto"/>
        <w:rPr>
          <w:rFonts w:hint="eastAsia" w:ascii="仿宋" w:hAnsi="仿宋" w:eastAsia="仿宋"/>
          <w:b/>
          <w:sz w:val="28"/>
          <w:szCs w:val="28"/>
          <w:u w:val="single"/>
        </w:rPr>
      </w:pPr>
      <w:r>
        <w:rPr>
          <w:rFonts w:hint="eastAsia" w:ascii="仿宋" w:hAnsi="仿宋" w:eastAsia="仿宋"/>
          <w:b/>
          <w:sz w:val="28"/>
          <w:szCs w:val="28"/>
        </w:rPr>
        <w:t>邮政编码：</w:t>
      </w:r>
      <w:r>
        <w:rPr>
          <w:rFonts w:hint="eastAsia" w:ascii="仿宋" w:hAnsi="仿宋" w:eastAsia="仿宋"/>
          <w:b/>
          <w:sz w:val="28"/>
          <w:szCs w:val="28"/>
          <w:u w:val="single"/>
        </w:rPr>
        <w:tab/>
      </w:r>
      <w:r>
        <w:rPr>
          <w:rFonts w:hint="eastAsia" w:ascii="仿宋" w:hAnsi="仿宋" w:eastAsia="仿宋"/>
          <w:b/>
          <w:sz w:val="28"/>
          <w:szCs w:val="28"/>
          <w:u w:val="single"/>
        </w:rPr>
        <w:t xml:space="preserve">102488                </w:t>
      </w:r>
      <w:r>
        <w:rPr>
          <w:rFonts w:hint="eastAsia" w:ascii="仿宋" w:hAnsi="仿宋" w:eastAsia="仿宋"/>
          <w:b/>
          <w:sz w:val="28"/>
          <w:szCs w:val="28"/>
        </w:rPr>
        <w:t>电　　话：</w:t>
      </w:r>
      <w:r>
        <w:rPr>
          <w:rFonts w:hint="eastAsia" w:ascii="仿宋" w:hAnsi="仿宋" w:eastAsia="仿宋"/>
          <w:b/>
          <w:sz w:val="28"/>
          <w:szCs w:val="28"/>
          <w:u w:val="single"/>
        </w:rPr>
        <w:tab/>
      </w:r>
      <w:r>
        <w:rPr>
          <w:rFonts w:hint="eastAsia" w:ascii="仿宋" w:hAnsi="仿宋" w:eastAsia="仿宋"/>
          <w:b/>
          <w:sz w:val="28"/>
          <w:szCs w:val="28"/>
          <w:u w:val="single"/>
        </w:rPr>
        <w:t>89351007</w:t>
      </w:r>
      <w:r>
        <w:rPr>
          <w:rFonts w:hint="eastAsia" w:ascii="仿宋" w:hAnsi="仿宋" w:eastAsia="仿宋"/>
          <w:b/>
          <w:sz w:val="28"/>
          <w:szCs w:val="28"/>
          <w:u w:val="single"/>
        </w:rPr>
        <w:tab/>
      </w:r>
    </w:p>
    <w:p>
      <w:pPr>
        <w:keepNext w:val="0"/>
        <w:keepLines w:val="0"/>
        <w:pageBreakBefore w:val="0"/>
        <w:widowControl/>
        <w:tabs>
          <w:tab w:val="left" w:pos="540"/>
        </w:tabs>
        <w:kinsoku/>
        <w:wordWrap/>
        <w:overflowPunct/>
        <w:topLinePunct w:val="0"/>
        <w:autoSpaceDE/>
        <w:autoSpaceDN/>
        <w:bidi w:val="0"/>
        <w:adjustRightInd/>
        <w:snapToGrid/>
        <w:spacing w:line="500" w:lineRule="exact"/>
        <w:textAlignment w:val="auto"/>
        <w:rPr>
          <w:rFonts w:hint="eastAsia" w:ascii="仿宋" w:hAnsi="仿宋" w:eastAsia="仿宋"/>
          <w:b/>
          <w:sz w:val="28"/>
          <w:szCs w:val="28"/>
          <w:u w:val="single"/>
        </w:rPr>
      </w:pPr>
      <w:r>
        <w:rPr>
          <w:rFonts w:hint="eastAsia" w:ascii="仿宋" w:hAnsi="仿宋" w:eastAsia="仿宋"/>
          <w:b/>
          <w:sz w:val="28"/>
          <w:szCs w:val="28"/>
        </w:rPr>
        <w:t>开户银行：</w:t>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 xml:space="preserve">    </w:t>
      </w:r>
      <w:r>
        <w:rPr>
          <w:rFonts w:hint="eastAsia" w:ascii="仿宋" w:hAnsi="仿宋" w:eastAsia="仿宋"/>
          <w:b/>
          <w:sz w:val="28"/>
          <w:szCs w:val="28"/>
          <w:u w:val="single"/>
        </w:rPr>
        <w:tab/>
      </w:r>
      <w:r>
        <w:rPr>
          <w:rFonts w:hint="eastAsia" w:ascii="仿宋" w:hAnsi="仿宋" w:eastAsia="仿宋"/>
          <w:b/>
          <w:sz w:val="28"/>
          <w:szCs w:val="28"/>
          <w:u w:val="single"/>
        </w:rPr>
        <w:t xml:space="preserve">          </w:t>
      </w:r>
      <w:r>
        <w:rPr>
          <w:rFonts w:hint="eastAsia" w:ascii="仿宋" w:hAnsi="仿宋" w:eastAsia="仿宋"/>
          <w:b/>
          <w:sz w:val="28"/>
          <w:szCs w:val="28"/>
        </w:rPr>
        <w:t>帐　　号：</w:t>
      </w:r>
      <w:r>
        <w:rPr>
          <w:rFonts w:hint="eastAsia" w:ascii="仿宋" w:hAnsi="仿宋" w:eastAsia="仿宋"/>
          <w:b/>
          <w:sz w:val="28"/>
          <w:szCs w:val="28"/>
          <w:u w:val="single"/>
        </w:rPr>
        <w:tab/>
      </w:r>
      <w:r>
        <w:rPr>
          <w:rFonts w:hint="eastAsia" w:ascii="仿宋" w:hAnsi="仿宋" w:eastAsia="仿宋"/>
          <w:b/>
          <w:sz w:val="28"/>
          <w:szCs w:val="28"/>
          <w:u w:val="single"/>
        </w:rPr>
        <w:t xml:space="preserve">         </w:t>
      </w:r>
    </w:p>
    <w:p>
      <w:pPr>
        <w:keepNext w:val="0"/>
        <w:keepLines w:val="0"/>
        <w:pageBreakBefore w:val="0"/>
        <w:widowControl/>
        <w:tabs>
          <w:tab w:val="left" w:pos="540"/>
        </w:tabs>
        <w:kinsoku/>
        <w:wordWrap/>
        <w:overflowPunct/>
        <w:topLinePunct w:val="0"/>
        <w:autoSpaceDE/>
        <w:autoSpaceDN/>
        <w:bidi w:val="0"/>
        <w:adjustRightInd/>
        <w:snapToGrid/>
        <w:spacing w:line="500" w:lineRule="exact"/>
        <w:textAlignment w:val="auto"/>
        <w:rPr>
          <w:rFonts w:hint="eastAsia" w:ascii="仿宋" w:hAnsi="仿宋" w:eastAsia="仿宋"/>
          <w:b/>
          <w:sz w:val="28"/>
          <w:szCs w:val="28"/>
          <w:u w:val="single"/>
        </w:rPr>
      </w:pPr>
      <w:r>
        <w:rPr>
          <w:rFonts w:hint="eastAsia" w:ascii="仿宋" w:hAnsi="仿宋" w:eastAsia="仿宋"/>
          <w:b/>
          <w:sz w:val="28"/>
          <w:szCs w:val="28"/>
        </w:rPr>
        <w:t>日    期：</w:t>
      </w:r>
      <w:r>
        <w:rPr>
          <w:rFonts w:hint="eastAsia" w:ascii="仿宋" w:hAnsi="仿宋" w:eastAsia="仿宋"/>
          <w:b/>
          <w:sz w:val="28"/>
          <w:szCs w:val="28"/>
          <w:u w:val="single"/>
        </w:rPr>
        <w:tab/>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ab/>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年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月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日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w:t>
      </w:r>
    </w:p>
    <w:p>
      <w:pPr>
        <w:keepNext w:val="0"/>
        <w:keepLines w:val="0"/>
        <w:pageBreakBefore w:val="0"/>
        <w:widowControl/>
        <w:tabs>
          <w:tab w:val="left" w:pos="540"/>
        </w:tabs>
        <w:kinsoku/>
        <w:wordWrap/>
        <w:overflowPunct/>
        <w:topLinePunct w:val="0"/>
        <w:autoSpaceDE/>
        <w:autoSpaceDN/>
        <w:bidi w:val="0"/>
        <w:adjustRightInd/>
        <w:snapToGrid/>
        <w:spacing w:line="500" w:lineRule="exact"/>
        <w:textAlignment w:val="auto"/>
        <w:rPr>
          <w:rFonts w:hint="default" w:ascii="仿宋" w:hAnsi="仿宋" w:eastAsia="仿宋"/>
          <w:b/>
          <w:sz w:val="28"/>
          <w:szCs w:val="28"/>
          <w:u w:val="dottedHeavy"/>
          <w:lang w:val="en-US" w:eastAsia="zh-CN"/>
        </w:rPr>
      </w:pPr>
      <w:r>
        <w:rPr>
          <w:rFonts w:hint="eastAsia" w:ascii="仿宋" w:hAnsi="仿宋" w:eastAsia="仿宋"/>
          <w:b/>
          <w:sz w:val="28"/>
          <w:szCs w:val="28"/>
          <w:u w:val="dottedHeavy"/>
        </w:rPr>
        <w:t xml:space="preserve">                                                       </w:t>
      </w:r>
      <w:r>
        <w:rPr>
          <w:rFonts w:hint="eastAsia" w:ascii="仿宋" w:hAnsi="仿宋" w:eastAsia="仿宋"/>
          <w:b/>
          <w:sz w:val="28"/>
          <w:szCs w:val="28"/>
          <w:u w:val="dottedHeavy"/>
          <w:lang w:val="en-US" w:eastAsia="zh-CN"/>
        </w:rPr>
        <w:t xml:space="preserve">              </w:t>
      </w:r>
    </w:p>
    <w:p>
      <w:pPr>
        <w:pageBreakBefore w:val="0"/>
        <w:widowControl/>
        <w:tabs>
          <w:tab w:val="left" w:pos="540"/>
        </w:tabs>
        <w:kinsoku/>
        <w:wordWrap/>
        <w:overflowPunct/>
        <w:topLinePunct w:val="0"/>
        <w:bidi w:val="0"/>
        <w:snapToGrid/>
        <w:spacing w:before="240" w:line="400" w:lineRule="exact"/>
        <w:textAlignment w:val="auto"/>
        <w:rPr>
          <w:rFonts w:hint="default" w:ascii="仿宋" w:hAnsi="仿宋" w:eastAsia="仿宋"/>
          <w:b/>
          <w:sz w:val="28"/>
          <w:szCs w:val="28"/>
          <w:u w:val="single"/>
          <w:lang w:val="en-US"/>
        </w:rPr>
      </w:pPr>
      <w:r>
        <w:rPr>
          <w:rFonts w:hint="eastAsia" w:ascii="仿宋" w:hAnsi="仿宋" w:eastAsia="仿宋"/>
          <w:b/>
          <w:sz w:val="28"/>
          <w:szCs w:val="28"/>
        </w:rPr>
        <w:t>卖方（盖章）：</w:t>
      </w:r>
      <w:r>
        <w:rPr>
          <w:rFonts w:hint="eastAsia" w:ascii="宋体" w:hAnsi="宋体" w:eastAsia="宋体" w:cs="宋体"/>
          <w:b/>
          <w:sz w:val="28"/>
          <w:szCs w:val="28"/>
          <w:u w:val="single"/>
          <w:lang w:val="en-US" w:eastAsia="zh-CN"/>
        </w:rPr>
        <w:t xml:space="preserve">                         </w:t>
      </w:r>
      <w:r>
        <w:rPr>
          <w:rFonts w:hint="eastAsia" w:ascii="仿宋" w:hAnsi="仿宋" w:eastAsia="仿宋"/>
          <w:b/>
          <w:sz w:val="28"/>
          <w:szCs w:val="28"/>
          <w:u w:val="single"/>
          <w:lang w:val="en-US" w:eastAsia="zh-CN"/>
        </w:rPr>
        <w:t xml:space="preserve">    </w:t>
      </w:r>
    </w:p>
    <w:p>
      <w:pPr>
        <w:pageBreakBefore w:val="0"/>
        <w:widowControl/>
        <w:tabs>
          <w:tab w:val="left" w:pos="540"/>
        </w:tabs>
        <w:kinsoku/>
        <w:wordWrap/>
        <w:overflowPunct/>
        <w:topLinePunct w:val="0"/>
        <w:bidi w:val="0"/>
        <w:snapToGrid/>
        <w:spacing w:line="400" w:lineRule="exact"/>
        <w:textAlignment w:val="auto"/>
        <w:rPr>
          <w:rFonts w:hint="eastAsia" w:ascii="仿宋" w:hAnsi="仿宋" w:eastAsia="仿宋"/>
          <w:b/>
          <w:sz w:val="28"/>
          <w:szCs w:val="28"/>
        </w:rPr>
      </w:pPr>
      <w:r>
        <w:rPr>
          <w:rFonts w:hint="eastAsia" w:ascii="仿宋" w:hAnsi="仿宋" w:eastAsia="仿宋"/>
          <w:b/>
          <w:sz w:val="28"/>
          <w:szCs w:val="28"/>
        </w:rPr>
        <w:t xml:space="preserve">　          </w:t>
      </w:r>
    </w:p>
    <w:p>
      <w:pPr>
        <w:pageBreakBefore w:val="0"/>
        <w:widowControl/>
        <w:kinsoku/>
        <w:wordWrap/>
        <w:overflowPunct/>
        <w:topLinePunct w:val="0"/>
        <w:bidi w:val="0"/>
        <w:snapToGrid/>
        <w:spacing w:line="600" w:lineRule="exact"/>
        <w:textAlignment w:val="auto"/>
        <w:rPr>
          <w:rFonts w:hint="eastAsia" w:ascii="仿宋" w:hAnsi="仿宋" w:eastAsia="仿宋"/>
          <w:b/>
          <w:sz w:val="28"/>
          <w:szCs w:val="28"/>
          <w:u w:val="single"/>
        </w:rPr>
      </w:pPr>
      <w:r>
        <w:rPr>
          <w:rFonts w:hint="eastAsia" w:ascii="仿宋" w:hAnsi="仿宋" w:eastAsia="仿宋" w:cs="Times New Roman"/>
          <w:b/>
          <w:sz w:val="28"/>
          <w:szCs w:val="28"/>
        </w:rPr>
        <w:t>授</w:t>
      </w:r>
      <w:r>
        <w:rPr>
          <w:rFonts w:hint="eastAsia" w:ascii="仿宋" w:hAnsi="仿宋" w:eastAsia="仿宋"/>
          <w:b/>
          <w:sz w:val="28"/>
          <w:szCs w:val="28"/>
        </w:rPr>
        <w:t>权代表(签字)：</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w:t>
      </w:r>
    </w:p>
    <w:p>
      <w:pPr>
        <w:pageBreakBefore w:val="0"/>
        <w:widowControl/>
        <w:tabs>
          <w:tab w:val="left" w:pos="540"/>
        </w:tabs>
        <w:kinsoku/>
        <w:wordWrap/>
        <w:overflowPunct/>
        <w:topLinePunct w:val="0"/>
        <w:bidi w:val="0"/>
        <w:snapToGrid/>
        <w:spacing w:line="600" w:lineRule="exact"/>
        <w:textAlignment w:val="auto"/>
        <w:rPr>
          <w:rFonts w:hint="default" w:ascii="仿宋" w:hAnsi="仿宋" w:eastAsia="仿宋"/>
          <w:b/>
          <w:sz w:val="28"/>
          <w:szCs w:val="28"/>
          <w:u w:val="single"/>
          <w:lang w:val="en-US"/>
        </w:rPr>
      </w:pPr>
      <w:r>
        <w:rPr>
          <w:rFonts w:hint="eastAsia" w:ascii="仿宋" w:hAnsi="仿宋" w:eastAsia="仿宋"/>
          <w:b/>
          <w:sz w:val="28"/>
          <w:szCs w:val="28"/>
        </w:rPr>
        <w:t>地　　址：</w:t>
      </w:r>
      <w:r>
        <w:rPr>
          <w:rFonts w:hint="eastAsia" w:ascii="仿宋" w:hAnsi="仿宋" w:eastAsia="仿宋"/>
          <w:b/>
          <w:sz w:val="28"/>
          <w:szCs w:val="28"/>
          <w:u w:val="single"/>
        </w:rPr>
        <w:t xml:space="preserve"> </w:t>
      </w:r>
      <w:r>
        <w:rPr>
          <w:rFonts w:hint="eastAsia" w:ascii="宋体" w:hAnsi="宋体" w:eastAsia="宋体" w:cs="宋体"/>
          <w:b/>
          <w:sz w:val="28"/>
          <w:szCs w:val="28"/>
          <w:u w:val="single"/>
          <w:lang w:val="en-US" w:eastAsia="zh-CN"/>
        </w:rPr>
        <w:t xml:space="preserve">                               </w:t>
      </w:r>
    </w:p>
    <w:p>
      <w:pPr>
        <w:pageBreakBefore w:val="0"/>
        <w:widowControl/>
        <w:tabs>
          <w:tab w:val="left" w:pos="540"/>
        </w:tabs>
        <w:kinsoku/>
        <w:wordWrap/>
        <w:overflowPunct/>
        <w:topLinePunct w:val="0"/>
        <w:bidi w:val="0"/>
        <w:snapToGrid/>
        <w:spacing w:line="600" w:lineRule="exact"/>
        <w:textAlignment w:val="auto"/>
        <w:rPr>
          <w:rFonts w:hint="eastAsia" w:ascii="仿宋" w:hAnsi="仿宋" w:eastAsia="仿宋"/>
          <w:b/>
          <w:sz w:val="28"/>
          <w:szCs w:val="28"/>
          <w:u w:val="single"/>
        </w:rPr>
      </w:pPr>
      <w:r>
        <w:rPr>
          <w:rFonts w:hint="eastAsia" w:ascii="仿宋" w:hAnsi="仿宋" w:eastAsia="仿宋"/>
          <w:b/>
          <w:sz w:val="28"/>
          <w:szCs w:val="28"/>
        </w:rPr>
        <w:t>邮政编码：</w:t>
      </w:r>
      <w:r>
        <w:rPr>
          <w:rFonts w:hint="eastAsia" w:ascii="宋体" w:hAnsi="宋体" w:eastAsia="宋体" w:cs="宋体"/>
          <w:b/>
          <w:sz w:val="28"/>
          <w:szCs w:val="28"/>
          <w:u w:val="single"/>
          <w:lang w:val="en-US" w:eastAsia="zh-CN"/>
        </w:rPr>
        <w:t xml:space="preserve">        </w:t>
      </w:r>
      <w:r>
        <w:rPr>
          <w:rFonts w:hint="eastAsia" w:ascii="仿宋" w:hAnsi="仿宋" w:eastAsia="仿宋"/>
          <w:b/>
          <w:sz w:val="28"/>
          <w:szCs w:val="28"/>
          <w:u w:val="single"/>
        </w:rPr>
        <w:t xml:space="preserve">  </w:t>
      </w:r>
      <w:r>
        <w:rPr>
          <w:rFonts w:hint="eastAsia" w:ascii="仿宋" w:hAnsi="仿宋" w:eastAsia="仿宋"/>
          <w:b/>
          <w:sz w:val="28"/>
          <w:szCs w:val="28"/>
        </w:rPr>
        <w:t xml:space="preserve"> 电　　话：</w:t>
      </w:r>
      <w:r>
        <w:rPr>
          <w:rFonts w:hint="eastAsia" w:ascii="仿宋" w:hAnsi="仿宋" w:eastAsia="仿宋"/>
          <w:b/>
          <w:sz w:val="28"/>
          <w:szCs w:val="28"/>
          <w:u w:val="single"/>
          <w:lang w:val="en-US" w:eastAsia="zh-CN"/>
        </w:rPr>
        <w:t xml:space="preserve">         </w:t>
      </w:r>
      <w:r>
        <w:rPr>
          <w:rFonts w:hint="eastAsia" w:ascii="宋体" w:hAnsi="宋体" w:eastAsia="宋体" w:cs="宋体"/>
          <w:b/>
          <w:sz w:val="28"/>
          <w:szCs w:val="28"/>
          <w:u w:val="single"/>
        </w:rPr>
        <w:t xml:space="preserve">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w:t>
      </w:r>
    </w:p>
    <w:p>
      <w:pPr>
        <w:pageBreakBefore w:val="0"/>
        <w:widowControl/>
        <w:tabs>
          <w:tab w:val="left" w:pos="540"/>
        </w:tabs>
        <w:kinsoku/>
        <w:wordWrap/>
        <w:overflowPunct/>
        <w:topLinePunct w:val="0"/>
        <w:bidi w:val="0"/>
        <w:snapToGrid/>
        <w:spacing w:line="600" w:lineRule="exact"/>
        <w:textAlignment w:val="auto"/>
        <w:rPr>
          <w:rFonts w:hint="default" w:ascii="仿宋" w:hAnsi="仿宋" w:eastAsia="仿宋"/>
          <w:b/>
          <w:sz w:val="28"/>
          <w:szCs w:val="28"/>
          <w:u w:val="single"/>
          <w:lang w:val="en-US" w:eastAsia="zh-CN"/>
        </w:rPr>
      </w:pPr>
      <w:r>
        <w:rPr>
          <w:rFonts w:hint="eastAsia" w:ascii="仿宋" w:hAnsi="仿宋" w:eastAsia="仿宋"/>
          <w:b/>
          <w:sz w:val="28"/>
          <w:szCs w:val="28"/>
        </w:rPr>
        <w:t>开户银行：</w:t>
      </w:r>
      <w:r>
        <w:rPr>
          <w:rFonts w:hint="eastAsia" w:ascii="仿宋" w:hAnsi="仿宋" w:eastAsia="仿宋"/>
          <w:b/>
          <w:sz w:val="28"/>
          <w:szCs w:val="28"/>
          <w:u w:val="single"/>
        </w:rPr>
        <w:t xml:space="preserve"> </w:t>
      </w:r>
      <w:r>
        <w:rPr>
          <w:rFonts w:hint="eastAsia" w:ascii="宋体" w:hAnsi="宋体" w:eastAsia="宋体" w:cs="宋体"/>
          <w:b/>
          <w:sz w:val="28"/>
          <w:szCs w:val="28"/>
          <w:u w:val="single"/>
          <w:lang w:val="en-US" w:eastAsia="zh-CN"/>
        </w:rPr>
        <w:t xml:space="preserve">                       </w:t>
      </w:r>
    </w:p>
    <w:p>
      <w:pPr>
        <w:pageBreakBefore w:val="0"/>
        <w:widowControl/>
        <w:tabs>
          <w:tab w:val="left" w:pos="540"/>
        </w:tabs>
        <w:kinsoku/>
        <w:wordWrap/>
        <w:overflowPunct/>
        <w:topLinePunct w:val="0"/>
        <w:bidi w:val="0"/>
        <w:snapToGrid/>
        <w:spacing w:line="600" w:lineRule="exact"/>
        <w:textAlignment w:val="auto"/>
        <w:rPr>
          <w:rFonts w:hint="eastAsia" w:ascii="仿宋" w:hAnsi="仿宋" w:eastAsia="仿宋"/>
          <w:b/>
          <w:sz w:val="28"/>
          <w:szCs w:val="28"/>
          <w:u w:val="single"/>
          <w:lang w:val="en-US" w:eastAsia="zh-CN"/>
        </w:rPr>
      </w:pPr>
      <w:r>
        <w:rPr>
          <w:rFonts w:hint="eastAsia" w:ascii="仿宋" w:hAnsi="仿宋" w:eastAsia="仿宋"/>
          <w:b/>
          <w:sz w:val="28"/>
          <w:szCs w:val="28"/>
        </w:rPr>
        <w:t>帐　　号：</w:t>
      </w:r>
      <w:r>
        <w:rPr>
          <w:rFonts w:hint="eastAsia" w:ascii="仿宋" w:hAnsi="仿宋" w:eastAsia="仿宋"/>
          <w:b/>
          <w:sz w:val="28"/>
          <w:szCs w:val="28"/>
          <w:u w:val="single"/>
        </w:rPr>
        <w:t xml:space="preserve"> </w:t>
      </w:r>
      <w:r>
        <w:rPr>
          <w:rFonts w:hint="eastAsia" w:ascii="宋体" w:hAnsi="宋体" w:eastAsia="宋体" w:cs="宋体"/>
          <w:b/>
          <w:sz w:val="28"/>
          <w:szCs w:val="28"/>
          <w:u w:val="single"/>
          <w:lang w:val="en-US" w:eastAsia="zh-CN"/>
        </w:rPr>
        <w:t xml:space="preserve">               </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p>
    <w:p>
      <w:pPr>
        <w:pageBreakBefore w:val="0"/>
        <w:widowControl/>
        <w:tabs>
          <w:tab w:val="left" w:pos="540"/>
        </w:tabs>
        <w:kinsoku/>
        <w:wordWrap/>
        <w:overflowPunct/>
        <w:topLinePunct w:val="0"/>
        <w:bidi w:val="0"/>
        <w:snapToGrid/>
        <w:spacing w:line="600" w:lineRule="exact"/>
        <w:textAlignment w:val="auto"/>
        <w:rPr>
          <w:rFonts w:hint="default" w:ascii="宋体" w:hAnsi="宋体" w:eastAsia="仿宋"/>
          <w:b/>
          <w:sz w:val="28"/>
          <w:szCs w:val="28"/>
          <w:u w:val="single"/>
          <w:lang w:val="en-US" w:eastAsia="zh-CN"/>
        </w:rPr>
      </w:pPr>
      <w:r>
        <w:rPr>
          <w:rFonts w:hint="eastAsia" w:ascii="仿宋" w:hAnsi="仿宋" w:eastAsia="仿宋"/>
          <w:b/>
          <w:sz w:val="28"/>
          <w:szCs w:val="28"/>
        </w:rPr>
        <w:t>日    期：</w:t>
      </w:r>
      <w:r>
        <w:rPr>
          <w:rFonts w:hint="eastAsia" w:ascii="仿宋" w:hAnsi="仿宋" w:eastAsia="仿宋"/>
          <w:b/>
          <w:sz w:val="28"/>
          <w:szCs w:val="28"/>
          <w:u w:val="single"/>
        </w:rPr>
        <w:tab/>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ab/>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年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月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日  </w:t>
      </w:r>
      <w:r>
        <w:rPr>
          <w:rFonts w:hint="eastAsia" w:ascii="仿宋" w:hAnsi="仿宋" w:eastAsia="仿宋"/>
          <w:b/>
          <w:sz w:val="28"/>
          <w:szCs w:val="28"/>
          <w:u w:val="single"/>
          <w:lang w:val="en-US" w:eastAsia="zh-CN"/>
        </w:rPr>
        <w:t xml:space="preserve">     </w:t>
      </w:r>
    </w:p>
    <w:p>
      <w:pPr>
        <w:pStyle w:val="3"/>
        <w:pageBreakBefore w:val="0"/>
        <w:widowControl/>
        <w:kinsoku/>
        <w:wordWrap/>
        <w:overflowPunct/>
        <w:topLinePunct w:val="0"/>
        <w:bidi w:val="0"/>
        <w:snapToGrid/>
        <w:spacing w:before="0" w:after="0" w:line="600" w:lineRule="exact"/>
        <w:textAlignment w:val="auto"/>
        <w:rPr>
          <w:rFonts w:hAnsi="宋体"/>
          <w:sz w:val="24"/>
          <w:szCs w:val="24"/>
        </w:rPr>
        <w:sectPr>
          <w:footerReference r:id="rId12" w:type="default"/>
          <w:pgSz w:w="11906" w:h="16838"/>
          <w:pgMar w:top="1276" w:right="1134" w:bottom="1134" w:left="1134" w:header="851" w:footer="992" w:gutter="0"/>
          <w:pgNumType w:fmt="decimal"/>
          <w:cols w:space="720" w:num="1"/>
          <w:docGrid w:type="linesAndChars" w:linePitch="312" w:charSpace="0"/>
        </w:sectPr>
      </w:pPr>
      <w:bookmarkStart w:id="646" w:name="_Toc362352259"/>
      <w:bookmarkStart w:id="647" w:name="_Toc218935353"/>
      <w:bookmarkStart w:id="648" w:name="_Toc219175637"/>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第一章 合同专用条款</w:t>
      </w:r>
      <w:bookmarkEnd w:id="646"/>
      <w:bookmarkEnd w:id="647"/>
      <w:bookmarkEnd w:id="648"/>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合同专用条款是合同一般条款的补充和修改。如果两者之间有抵触，应以专用条款为准。合同专用条款的序号将与合同一般条款序号相对应。</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1、定义</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1.1 买方：本合同买方系指：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1.2 卖方：本合同卖方系指：</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1.3 现场：本合同项下的货物安装和运行地点位于</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2、交货方式</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2.1　本合同项下的货物交货方式为：现场交货。</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2.2  卖方应在货物发出  2  天前以电话或传真形式将项目名称、合同号、中标商名称及货物的名称、数量、备妥交货日期、存储注意事项等信息通知买方及最终用户（学校或幼儿园等）。</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2.2.1交货时，卖方应提交标注着项目名称、合同号、中标商名称、联系人的货物清单（列明货物名称、厂家品牌、规格型号、数量），并配合买方和最终用户（学校或幼儿园等）清点、签收。由于卖方未严格履行上述程序而造成的一切后果由卖方自行承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2.2.2 交货过程中，卖方应严格遵守所签署的卖方项目实施安全管理承诺书（详见附件2）中的规定，确保此项目的安全实施，并对由于未履行承诺而引发的一切不良后果负责。</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3、付款条件</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合同签订</w:t>
      </w:r>
      <w:r>
        <w:rPr>
          <w:rFonts w:hint="eastAsia" w:ascii="宋体" w:hAnsi="宋体" w:eastAsia="宋体" w:cs="Times New Roman"/>
          <w:sz w:val="24"/>
          <w:lang w:val="en-US" w:eastAsia="zh-CN"/>
        </w:rPr>
        <w:t>并通过资金拨付程序</w:t>
      </w:r>
      <w:r>
        <w:rPr>
          <w:rFonts w:hint="eastAsia" w:ascii="宋体" w:hAnsi="宋体" w:eastAsia="宋体" w:cs="Times New Roman"/>
          <w:sz w:val="24"/>
        </w:rPr>
        <w:t>后买方支付给卖方合同总价的</w:t>
      </w:r>
      <w:r>
        <w:rPr>
          <w:rFonts w:hint="eastAsia" w:ascii="宋体" w:hAnsi="宋体" w:eastAsia="宋体" w:cs="Times New Roman"/>
          <w:sz w:val="24"/>
          <w:lang w:val="en-US" w:eastAsia="zh-CN"/>
        </w:rPr>
        <w:t>5</w:t>
      </w:r>
      <w:r>
        <w:rPr>
          <w:rFonts w:hint="eastAsia" w:ascii="宋体" w:hAnsi="宋体" w:eastAsia="宋体" w:cs="Times New Roman"/>
          <w:sz w:val="24"/>
        </w:rPr>
        <w:t>0%作为预付款；全部货物送达买方指定地点并完成安装调试，且项目整体验收合格</w:t>
      </w:r>
      <w:r>
        <w:rPr>
          <w:rFonts w:hint="eastAsia" w:ascii="宋体" w:hAnsi="宋体" w:eastAsia="宋体" w:cs="Times New Roman"/>
          <w:sz w:val="24"/>
          <w:lang w:val="en-US" w:eastAsia="zh-CN"/>
        </w:rPr>
        <w:t>并通过资金拨付程序</w:t>
      </w:r>
      <w:r>
        <w:rPr>
          <w:rFonts w:hint="eastAsia" w:ascii="宋体" w:hAnsi="宋体" w:eastAsia="宋体" w:cs="Times New Roman"/>
          <w:sz w:val="24"/>
        </w:rPr>
        <w:t>后，支付</w:t>
      </w:r>
      <w:r>
        <w:rPr>
          <w:rFonts w:hint="eastAsia" w:ascii="宋体" w:hAnsi="宋体" w:eastAsia="宋体" w:cs="Times New Roman"/>
          <w:sz w:val="24"/>
          <w:lang w:val="en-US" w:eastAsia="zh-CN"/>
        </w:rPr>
        <w:t>合同总价50%的</w:t>
      </w:r>
      <w:r>
        <w:rPr>
          <w:rFonts w:hint="eastAsia" w:ascii="宋体" w:hAnsi="宋体" w:eastAsia="宋体" w:cs="Times New Roman"/>
          <w:sz w:val="24"/>
        </w:rPr>
        <w:t>余款。</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卖方在合同签订当日向买方支付合同总价5%的履约保证金。</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4、质量保证</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4.1 买方可采取一切本方认为必要的方式，对卖方所提供货物的质量、性能、安全性等方面进行检测，包括自行检测、委托有资质的第三方机构检测等，检测手段包括破坏性检测或试验。卖方应无条件配合买方进行相关的检测活动。除招标文件另有要求外，如检测结果出现不合格指标项，由卖方承担全部检测费用（包括因进行破坏性检测或试验而导致的货物损失）。</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卖方在收到通知后，应在买方规定的时间内按照买方提出的要求免费维修或免费更换有缺陷的货物或部件。</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4.2 如果卖方在买方规定的时间内没有弥补缺陷，买方可采取必要的补救措施，但风险和费用将由卖方承担。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4.3 合同项下货物的质量保证期限、免费维修期限、维护期限以卖方质量保证与售后服务承诺书（详见附件3）中的相关条款为准，并与投标文件一致。</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i w:val="0"/>
          <w:iCs w:val="0"/>
          <w:sz w:val="24"/>
        </w:rPr>
      </w:pPr>
      <w:r>
        <w:rPr>
          <w:rFonts w:hint="eastAsia" w:ascii="宋体" w:hAnsi="宋体" w:eastAsia="宋体" w:cs="Times New Roman"/>
          <w:b/>
          <w:bCs/>
          <w:i w:val="0"/>
          <w:iCs w:val="0"/>
          <w:sz w:val="24"/>
        </w:rPr>
        <w:t>5、检验和验收</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全部货物运抵买方指定的现场（合同履行地）并完成安装调试后，买方组织验收，并编制、签署验收文件。验收标准依据招标文件及合同中相关规定。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6、索赔</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索赔通知期限：</w:t>
      </w:r>
      <w:r>
        <w:rPr>
          <w:rFonts w:hint="eastAsia" w:ascii="宋体" w:hAnsi="宋体" w:eastAsia="宋体" w:cs="Times New Roman"/>
          <w:b/>
          <w:bCs/>
          <w:sz w:val="24"/>
        </w:rPr>
        <w:t>60 天。</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7、延期交货</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如遇买方不具备货物安装、存储条件等原因造成延期交货，买卖双方应签署延期交货协议文件，对交货时间进行重新约定。货物的质量保证期、免费维修期、维护期以实际交货并验收通过之日起计。延期交货不影响本合同中对于卖方质量保证方面的要求。</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8、不可抗力</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8.1 受事故影响的一方应在不可抗力的事故发生后尽快书面形式通知另一方，并在事故发生后</w:t>
      </w:r>
      <w:r>
        <w:rPr>
          <w:rFonts w:hint="eastAsia" w:ascii="宋体" w:hAnsi="宋体" w:eastAsia="宋体" w:cs="Times New Roman"/>
          <w:b/>
          <w:bCs/>
          <w:sz w:val="24"/>
          <w:u w:val="single"/>
        </w:rPr>
        <w:t>7</w:t>
      </w:r>
      <w:r>
        <w:rPr>
          <w:rFonts w:hint="eastAsia" w:ascii="宋体" w:hAnsi="宋体" w:eastAsia="宋体" w:cs="Times New Roman"/>
          <w:b/>
          <w:bCs/>
          <w:sz w:val="24"/>
        </w:rPr>
        <w:t xml:space="preserve"> </w:t>
      </w:r>
      <w:r>
        <w:rPr>
          <w:rFonts w:hint="eastAsia" w:ascii="宋体" w:hAnsi="宋体" w:eastAsia="宋体" w:cs="Times New Roman"/>
          <w:sz w:val="24"/>
        </w:rPr>
        <w:t>天内，将有关部门出具的证明文件送达另一方。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8.2 不可抗力使合同的某些内容有变更必要的， 双方应通过协商在</w:t>
      </w:r>
      <w:r>
        <w:rPr>
          <w:rFonts w:hint="eastAsia" w:ascii="宋体" w:hAnsi="宋体" w:eastAsia="宋体" w:cs="Times New Roman"/>
          <w:b/>
          <w:bCs/>
          <w:sz w:val="24"/>
          <w:u w:val="single"/>
        </w:rPr>
        <w:t>7</w:t>
      </w:r>
      <w:r>
        <w:rPr>
          <w:rFonts w:hint="eastAsia" w:ascii="宋体" w:hAnsi="宋体" w:eastAsia="宋体" w:cs="Times New Roman"/>
          <w:sz w:val="24"/>
        </w:rPr>
        <w:t>天内达成进一步履行合同的协议，因不可抗力致使合同不能履行的，合同终止。</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8.3 因不可抗力不能履行民事义务的，不承担民事责任。法律另有规定的，依照其规定。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9、通知与送达</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本合同项下的通知和送达以及因违反本合同约定所发生的诉讼、仲裁的法律文书送达均以各方的地址为准，如任何一方变更地址应当书面通知其他两方，否则以该地址送达即视为有效送达，由其承担全部法律责任。</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 xml:space="preserve">卖方：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联系人：</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 xml:space="preserve">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电话：</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 xml:space="preserve">   手机：</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 xml:space="preserve">    微信：</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 xml:space="preserve">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联系地址</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 xml:space="preserve">                                         </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一方可通过包括但不限于本协议显示的任何联系方式（电话、微信、邮箱、地址等）联系另一方，并向另一方发出通知或送达有关文件。以上述方式均视为向该方通知、送达成功。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lang w:val="en-US" w:eastAsia="zh-CN"/>
        </w:rPr>
        <w:t>10、</w:t>
      </w:r>
      <w:r>
        <w:rPr>
          <w:rFonts w:hint="eastAsia" w:ascii="宋体" w:hAnsi="宋体" w:eastAsia="宋体" w:cs="Times New Roman"/>
          <w:b/>
          <w:bCs/>
          <w:sz w:val="24"/>
        </w:rPr>
        <w:t>本合同未尽事宜</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本合同未尽事宜,按有关法律、法规和有关规定以及买方的目的、要求等处理。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1</w:t>
      </w:r>
      <w:r>
        <w:rPr>
          <w:rFonts w:hint="eastAsia" w:ascii="宋体" w:hAnsi="宋体" w:eastAsia="宋体" w:cs="Times New Roman"/>
          <w:b/>
          <w:bCs/>
          <w:sz w:val="24"/>
          <w:lang w:val="en-US" w:eastAsia="zh-CN"/>
        </w:rPr>
        <w:t>1</w:t>
      </w:r>
      <w:r>
        <w:rPr>
          <w:rFonts w:hint="eastAsia" w:ascii="宋体" w:hAnsi="宋体" w:eastAsia="宋体" w:cs="Times New Roman"/>
          <w:b/>
          <w:bCs/>
          <w:sz w:val="24"/>
        </w:rPr>
        <w:t>、合同争议的解决</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 xml:space="preserve">因合同履行中发生的争议，合同当事人双方可通过协商解决。协商不成的，可向北京市房山区人民法院提起诉讼。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lang w:val="en-US" w:eastAsia="zh-CN"/>
        </w:rPr>
        <w:t>12</w:t>
      </w:r>
      <w:r>
        <w:rPr>
          <w:rFonts w:hint="eastAsia" w:ascii="宋体" w:hAnsi="宋体" w:eastAsia="宋体" w:cs="Times New Roman"/>
          <w:b/>
          <w:bCs/>
          <w:sz w:val="24"/>
        </w:rPr>
        <w:t>、履约保证金</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卖方向买方提交履约保证金的时间：签订合同</w:t>
      </w:r>
      <w:r>
        <w:rPr>
          <w:rFonts w:hint="eastAsia" w:ascii="宋体" w:hAnsi="宋体" w:eastAsia="宋体" w:cs="Times New Roman"/>
          <w:sz w:val="24"/>
          <w:lang w:val="en-US" w:eastAsia="zh-CN"/>
        </w:rPr>
        <w:t>当日</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履约保证金金额：合同总价的5%，人民币（¥</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元 ）</w:t>
      </w:r>
      <w:r>
        <w:rPr>
          <w:rFonts w:hint="eastAsia" w:ascii="宋体" w:hAnsi="宋体" w:eastAsia="宋体" w:cs="Times New Roman"/>
          <w:sz w:val="24"/>
        </w:rPr>
        <w:t>（大写</w:t>
      </w:r>
      <w:r>
        <w:rPr>
          <w:rFonts w:hint="eastAsia" w:ascii="宋体" w:hAnsi="宋体" w:eastAsia="宋体" w:cs="Times New Roman"/>
          <w:sz w:val="24"/>
          <w:lang w:eastAsia="zh-CN"/>
        </w:rPr>
        <w:t>：</w:t>
      </w:r>
      <w:r>
        <w:rPr>
          <w:rFonts w:hint="eastAsia" w:ascii="宋体" w:hAnsi="宋体" w:eastAsia="宋体" w:cs="Times New Roman"/>
          <w:sz w:val="24"/>
          <w:lang w:val="en-US" w:eastAsia="zh-CN"/>
        </w:rPr>
        <w:t xml:space="preserve">       </w:t>
      </w:r>
      <w:r>
        <w:rPr>
          <w:rFonts w:hint="eastAsia" w:ascii="宋体" w:hAnsi="宋体" w:eastAsia="宋体" w:cs="Times New Roman"/>
          <w:sz w:val="24"/>
        </w:rPr>
        <w:t>）</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履约保证金提交方式：买方指定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1</w:t>
      </w:r>
      <w:r>
        <w:rPr>
          <w:rFonts w:hint="eastAsia" w:ascii="宋体" w:hAnsi="宋体" w:eastAsia="宋体" w:cs="Times New Roman"/>
          <w:b/>
          <w:bCs/>
          <w:sz w:val="24"/>
          <w:lang w:val="en-US" w:eastAsia="zh-CN"/>
        </w:rPr>
        <w:t>3</w:t>
      </w:r>
      <w:r>
        <w:rPr>
          <w:rFonts w:hint="eastAsia" w:ascii="宋体" w:hAnsi="宋体" w:eastAsia="宋体" w:cs="Times New Roman"/>
          <w:b/>
          <w:bCs/>
          <w:sz w:val="24"/>
        </w:rPr>
        <w:t>、合同生效和其它</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本合同一式</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六</w:t>
      </w:r>
      <w:r>
        <w:rPr>
          <w:rFonts w:hint="eastAsia" w:ascii="宋体" w:hAnsi="宋体" w:eastAsia="宋体" w:cs="Times New Roman"/>
          <w:b/>
          <w:bCs/>
          <w:sz w:val="24"/>
          <w:lang w:val="en-US" w:eastAsia="zh-CN"/>
        </w:rPr>
        <w:t xml:space="preserve"> </w:t>
      </w:r>
      <w:r>
        <w:rPr>
          <w:rFonts w:hint="eastAsia" w:ascii="宋体" w:hAnsi="宋体" w:eastAsia="宋体" w:cs="Times New Roman"/>
          <w:sz w:val="24"/>
        </w:rPr>
        <w:t>份，具有同等法律效力。其中买方</w:t>
      </w:r>
      <w:r>
        <w:rPr>
          <w:rFonts w:hint="eastAsia" w:ascii="宋体" w:hAnsi="宋体" w:eastAsia="宋体" w:cs="Times New Roman"/>
          <w:b w:val="0"/>
          <w:bCs w:val="0"/>
          <w:sz w:val="24"/>
        </w:rPr>
        <w:t xml:space="preserve"> 三 </w:t>
      </w:r>
      <w:r>
        <w:rPr>
          <w:rFonts w:hint="eastAsia" w:ascii="宋体" w:hAnsi="宋体" w:eastAsia="宋体" w:cs="Times New Roman"/>
          <w:sz w:val="24"/>
        </w:rPr>
        <w:t>份，卖方</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一</w:t>
      </w:r>
      <w:r>
        <w:rPr>
          <w:rFonts w:hint="eastAsia" w:ascii="宋体" w:hAnsi="宋体" w:eastAsia="宋体" w:cs="Times New Roman"/>
          <w:b/>
          <w:bCs/>
          <w:sz w:val="24"/>
          <w:lang w:val="en-US" w:eastAsia="zh-CN"/>
        </w:rPr>
        <w:t xml:space="preserve"> </w:t>
      </w:r>
      <w:r>
        <w:rPr>
          <w:rFonts w:hint="eastAsia" w:ascii="宋体" w:hAnsi="宋体" w:eastAsia="宋体" w:cs="Times New Roman"/>
          <w:sz w:val="24"/>
        </w:rPr>
        <w:t>份，招标代理机构 两 份（同时提供合同电子版一份）。</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sectPr>
          <w:pgSz w:w="11906" w:h="16838"/>
          <w:pgMar w:top="1276" w:right="1134" w:bottom="1134" w:left="1134" w:header="851" w:footer="992" w:gutter="0"/>
          <w:pgNumType w:fmt="decimal"/>
          <w:cols w:space="720" w:num="1"/>
          <w:docGrid w:type="linesAndChars" w:linePitch="312" w:charSpace="0"/>
        </w:sectPr>
      </w:pPr>
      <w:bookmarkStart w:id="649" w:name="_Toc220313479"/>
    </w:p>
    <w:p>
      <w:pPr>
        <w:pageBreakBefore w:val="0"/>
        <w:widowControl/>
        <w:numPr>
          <w:ilvl w:val="0"/>
          <w:numId w:val="7"/>
        </w:numPr>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 xml:space="preserve"> 合同通用条款</w:t>
      </w:r>
      <w:bookmarkEnd w:id="649"/>
    </w:p>
    <w:p>
      <w:pPr>
        <w:pStyle w:val="44"/>
        <w:numPr>
          <w:ilvl w:val="0"/>
          <w:numId w:val="0"/>
        </w:numPr>
        <w:rPr>
          <w:rFonts w:hint="eastAsia"/>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50" w:name="_Toc220313480"/>
      <w:bookmarkStart w:id="651" w:name="_Ref467379109"/>
      <w:bookmarkStart w:id="652" w:name="_Toc487900349"/>
      <w:bookmarkStart w:id="653" w:name="_Ref467379195"/>
      <w:bookmarkStart w:id="654" w:name="_Ref467379094"/>
      <w:bookmarkStart w:id="655" w:name="_Ref467378404"/>
      <w:bookmarkStart w:id="656" w:name="_Ref467378463"/>
      <w:bookmarkStart w:id="657" w:name="_Ref467379214"/>
      <w:bookmarkStart w:id="658" w:name="_Ref467378499"/>
      <w:bookmarkStart w:id="659" w:name="_Ref467379205"/>
      <w:bookmarkStart w:id="660" w:name="_Ref467379225"/>
      <w:bookmarkStart w:id="661" w:name="_Ref467379101"/>
      <w:r>
        <w:rPr>
          <w:rFonts w:hint="eastAsia" w:ascii="宋体" w:hAnsi="宋体" w:eastAsia="宋体" w:cs="Times New Roman"/>
          <w:b/>
          <w:bCs/>
          <w:sz w:val="24"/>
        </w:rPr>
        <w:t>1</w:t>
      </w:r>
      <w:r>
        <w:rPr>
          <w:rFonts w:hint="eastAsia" w:ascii="宋体" w:hAnsi="宋体" w:eastAsia="宋体" w:cs="Times New Roman"/>
          <w:b/>
          <w:bCs/>
          <w:sz w:val="24"/>
          <w:lang w:eastAsia="zh-CN"/>
        </w:rPr>
        <w:t>、</w:t>
      </w:r>
      <w:r>
        <w:rPr>
          <w:rFonts w:hint="eastAsia" w:ascii="宋体" w:hAnsi="宋体" w:eastAsia="宋体" w:cs="Times New Roman"/>
          <w:b/>
          <w:bCs/>
          <w:sz w:val="24"/>
        </w:rPr>
        <w:t>定义</w:t>
      </w:r>
      <w:bookmarkEnd w:id="650"/>
      <w:bookmarkEnd w:id="651"/>
      <w:bookmarkEnd w:id="652"/>
      <w:bookmarkEnd w:id="653"/>
      <w:bookmarkEnd w:id="654"/>
      <w:bookmarkEnd w:id="655"/>
      <w:bookmarkEnd w:id="656"/>
      <w:bookmarkEnd w:id="657"/>
      <w:bookmarkEnd w:id="658"/>
      <w:bookmarkEnd w:id="659"/>
      <w:bookmarkEnd w:id="660"/>
      <w:bookmarkEnd w:id="661"/>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本合同中的下列术语应解释为：</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1.1</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“合同”系指买卖双方签署的、合同格式中载明的买卖双方所达成的协议， 包括所有的附件、附录和构成合同的其它文件。</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1.2 </w:t>
      </w:r>
      <w:r>
        <w:rPr>
          <w:rFonts w:hint="eastAsia" w:ascii="宋体" w:hAnsi="宋体" w:eastAsia="宋体" w:cs="Times New Roman"/>
          <w:sz w:val="24"/>
          <w:lang w:val="en-US" w:eastAsia="zh-CN"/>
        </w:rPr>
        <w:t xml:space="preserve"> </w:t>
      </w:r>
      <w:r>
        <w:rPr>
          <w:rFonts w:hint="eastAsia" w:ascii="宋体" w:hAnsi="宋体" w:eastAsia="宋体" w:cs="Times New Roman"/>
          <w:sz w:val="24"/>
        </w:rPr>
        <w:t>“合同价”系指根据合同约定，卖方在完全履行合同义务后买方应付给卖方的价格。</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1.3 </w:t>
      </w:r>
      <w:r>
        <w:rPr>
          <w:rFonts w:hint="eastAsia" w:ascii="宋体" w:hAnsi="宋体" w:eastAsia="宋体" w:cs="Times New Roman"/>
          <w:sz w:val="24"/>
          <w:lang w:val="en-US" w:eastAsia="zh-CN"/>
        </w:rPr>
        <w:t xml:space="preserve"> </w:t>
      </w:r>
      <w:r>
        <w:rPr>
          <w:rFonts w:hint="eastAsia" w:ascii="宋体" w:hAnsi="宋体" w:eastAsia="宋体" w:cs="Times New Roman"/>
          <w:sz w:val="24"/>
        </w:rPr>
        <w:t>“货物”系指卖方根据合同约定须向买方提供的一切设备、机械、仪表、备件，包括工具、手册等其它相关资料。</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1.4 “服务”系指根据合同约定卖方承担与供货有关的辅助服务，如运输、保险及安装、调试、提供技术援助、培训和其他类似的服务。</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662" w:name="_Ref467378840"/>
      <w:r>
        <w:rPr>
          <w:rFonts w:hint="eastAsia" w:ascii="宋体" w:hAnsi="宋体" w:eastAsia="宋体" w:cs="Times New Roman"/>
          <w:sz w:val="24"/>
        </w:rPr>
        <w:t xml:space="preserve">1.5 </w:t>
      </w:r>
      <w:r>
        <w:rPr>
          <w:rFonts w:hint="eastAsia" w:ascii="宋体" w:hAnsi="宋体" w:eastAsia="宋体" w:cs="Times New Roman"/>
          <w:sz w:val="24"/>
          <w:lang w:val="en-US" w:eastAsia="zh-CN"/>
        </w:rPr>
        <w:t xml:space="preserve"> </w:t>
      </w:r>
      <w:r>
        <w:rPr>
          <w:rFonts w:hint="eastAsia" w:ascii="宋体" w:hAnsi="宋体" w:eastAsia="宋体" w:cs="Times New Roman"/>
          <w:sz w:val="24"/>
        </w:rPr>
        <w:t>“买方”系指与中标供应商签署供货合同的单位（含最终用户）。</w:t>
      </w:r>
      <w:bookmarkEnd w:id="662"/>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663" w:name="_Ref467379400"/>
      <w:r>
        <w:rPr>
          <w:rFonts w:hint="eastAsia" w:ascii="宋体" w:hAnsi="宋体" w:eastAsia="宋体" w:cs="Times New Roman"/>
          <w:sz w:val="24"/>
        </w:rPr>
        <w:t xml:space="preserve">1.6 </w:t>
      </w:r>
      <w:r>
        <w:rPr>
          <w:rFonts w:hint="eastAsia" w:ascii="宋体" w:hAnsi="宋体" w:eastAsia="宋体" w:cs="Times New Roman"/>
          <w:sz w:val="24"/>
          <w:lang w:val="en-US" w:eastAsia="zh-CN"/>
        </w:rPr>
        <w:t xml:space="preserve"> </w:t>
      </w:r>
      <w:r>
        <w:rPr>
          <w:rFonts w:hint="eastAsia" w:ascii="宋体" w:hAnsi="宋体" w:eastAsia="宋体" w:cs="Times New Roman"/>
          <w:sz w:val="24"/>
        </w:rPr>
        <w:t>“卖方”系指根据合同约定提供货物及相关服务的中标供应商。</w:t>
      </w:r>
      <w:bookmarkEnd w:id="663"/>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664" w:name="_Ref467379436"/>
      <w:r>
        <w:rPr>
          <w:rFonts w:hint="eastAsia" w:ascii="宋体" w:hAnsi="宋体" w:eastAsia="宋体" w:cs="Times New Roman"/>
          <w:sz w:val="24"/>
        </w:rPr>
        <w:t xml:space="preserve">1.7 </w:t>
      </w:r>
      <w:r>
        <w:rPr>
          <w:rFonts w:hint="eastAsia" w:ascii="宋体" w:hAnsi="宋体" w:eastAsia="宋体" w:cs="Times New Roman"/>
          <w:sz w:val="24"/>
          <w:lang w:val="en-US" w:eastAsia="zh-CN"/>
        </w:rPr>
        <w:t xml:space="preserve"> </w:t>
      </w:r>
      <w:r>
        <w:rPr>
          <w:rFonts w:hint="eastAsia" w:ascii="宋体" w:hAnsi="宋体" w:eastAsia="宋体" w:cs="Times New Roman"/>
          <w:sz w:val="24"/>
        </w:rPr>
        <w:t>“现场”系指合同约定货物将要运至和安装的地点。</w:t>
      </w:r>
      <w:bookmarkEnd w:id="664"/>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1.8 </w:t>
      </w:r>
      <w:r>
        <w:rPr>
          <w:rFonts w:hint="eastAsia" w:ascii="宋体" w:hAnsi="宋体" w:eastAsia="宋体" w:cs="Times New Roman"/>
          <w:sz w:val="24"/>
          <w:lang w:val="en-US" w:eastAsia="zh-CN"/>
        </w:rPr>
        <w:t xml:space="preserve"> </w:t>
      </w:r>
      <w:r>
        <w:rPr>
          <w:rFonts w:hint="eastAsia" w:ascii="宋体" w:hAnsi="宋体" w:eastAsia="宋体" w:cs="Times New Roman"/>
          <w:sz w:val="24"/>
        </w:rPr>
        <w:t>“验收”系指合同双方依据强制性的国家技术质量规范和合同约定，确认合同项下的货物符合合同规定的活动。</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65" w:name="_Toc220313481"/>
      <w:bookmarkStart w:id="666" w:name="_Toc487900350"/>
      <w:r>
        <w:rPr>
          <w:rFonts w:hint="eastAsia" w:ascii="宋体" w:hAnsi="宋体" w:eastAsia="宋体" w:cs="Times New Roman"/>
          <w:b/>
          <w:bCs/>
          <w:sz w:val="24"/>
        </w:rPr>
        <w:t>2</w:t>
      </w:r>
      <w:r>
        <w:rPr>
          <w:rFonts w:hint="eastAsia" w:ascii="宋体" w:hAnsi="宋体" w:eastAsia="宋体" w:cs="Times New Roman"/>
          <w:b/>
          <w:bCs/>
          <w:sz w:val="24"/>
          <w:lang w:eastAsia="zh-CN"/>
        </w:rPr>
        <w:t>、</w:t>
      </w:r>
      <w:r>
        <w:rPr>
          <w:rFonts w:hint="eastAsia" w:ascii="宋体" w:hAnsi="宋体" w:eastAsia="宋体" w:cs="Times New Roman"/>
          <w:b/>
          <w:bCs/>
          <w:sz w:val="24"/>
        </w:rPr>
        <w:t>技术规范</w:t>
      </w:r>
      <w:bookmarkEnd w:id="665"/>
      <w:bookmarkEnd w:id="666"/>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2.1 </w:t>
      </w:r>
      <w:r>
        <w:rPr>
          <w:rFonts w:hint="eastAsia" w:ascii="宋体" w:hAnsi="宋体" w:eastAsia="宋体" w:cs="Times New Roman"/>
          <w:sz w:val="24"/>
          <w:lang w:val="en-US" w:eastAsia="zh-CN"/>
        </w:rPr>
        <w:t xml:space="preserve"> </w:t>
      </w:r>
      <w:r>
        <w:rPr>
          <w:rFonts w:hint="eastAsia" w:ascii="宋体" w:hAnsi="宋体" w:eastAsia="宋体" w:cs="Times New Roman"/>
          <w:sz w:val="24"/>
        </w:rPr>
        <w:t>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67" w:name="_Toc487900351"/>
      <w:bookmarkStart w:id="668" w:name="_Toc220313482"/>
      <w:r>
        <w:rPr>
          <w:rFonts w:hint="eastAsia" w:ascii="宋体" w:hAnsi="宋体" w:eastAsia="宋体" w:cs="Times New Roman"/>
          <w:b/>
          <w:bCs/>
          <w:sz w:val="24"/>
        </w:rPr>
        <w:t>3</w:t>
      </w:r>
      <w:r>
        <w:rPr>
          <w:rFonts w:hint="eastAsia" w:ascii="宋体" w:hAnsi="宋体" w:eastAsia="宋体" w:cs="Times New Roman"/>
          <w:b/>
          <w:bCs/>
          <w:sz w:val="24"/>
          <w:lang w:eastAsia="zh-CN"/>
        </w:rPr>
        <w:t>、</w:t>
      </w:r>
      <w:r>
        <w:rPr>
          <w:rFonts w:hint="eastAsia" w:ascii="宋体" w:hAnsi="宋体" w:eastAsia="宋体" w:cs="Times New Roman"/>
          <w:b/>
          <w:bCs/>
          <w:sz w:val="24"/>
        </w:rPr>
        <w:t>知识产权</w:t>
      </w:r>
      <w:bookmarkEnd w:id="667"/>
      <w:bookmarkEnd w:id="668"/>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3.1 </w:t>
      </w:r>
      <w:r>
        <w:rPr>
          <w:rFonts w:hint="eastAsia" w:ascii="宋体" w:hAnsi="宋体" w:eastAsia="宋体" w:cs="Times New Roman"/>
          <w:sz w:val="24"/>
          <w:lang w:val="en-US" w:eastAsia="zh-CN"/>
        </w:rPr>
        <w:t xml:space="preserve"> </w:t>
      </w:r>
      <w:r>
        <w:rPr>
          <w:rFonts w:hint="eastAsia" w:ascii="宋体" w:hAnsi="宋体" w:eastAsia="宋体" w:cs="Times New Roman"/>
          <w:sz w:val="24"/>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69" w:name="_Toc487900352"/>
      <w:bookmarkStart w:id="670" w:name="_Toc220313483"/>
      <w:r>
        <w:rPr>
          <w:rFonts w:hint="eastAsia" w:ascii="宋体" w:hAnsi="宋体" w:eastAsia="宋体" w:cs="Times New Roman"/>
          <w:b/>
          <w:bCs/>
          <w:sz w:val="24"/>
        </w:rPr>
        <w:t>4</w:t>
      </w:r>
      <w:r>
        <w:rPr>
          <w:rFonts w:hint="eastAsia" w:ascii="宋体" w:hAnsi="宋体" w:eastAsia="宋体" w:cs="Times New Roman"/>
          <w:b/>
          <w:bCs/>
          <w:sz w:val="24"/>
          <w:lang w:eastAsia="zh-CN"/>
        </w:rPr>
        <w:t>、</w:t>
      </w:r>
      <w:r>
        <w:rPr>
          <w:rFonts w:hint="eastAsia" w:ascii="宋体" w:hAnsi="宋体" w:eastAsia="宋体" w:cs="Times New Roman"/>
          <w:b/>
          <w:bCs/>
          <w:sz w:val="24"/>
        </w:rPr>
        <w:t>包装要求</w:t>
      </w:r>
      <w:bookmarkEnd w:id="669"/>
      <w:bookmarkEnd w:id="67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4.1 </w:t>
      </w:r>
      <w:r>
        <w:rPr>
          <w:rFonts w:hint="eastAsia" w:ascii="宋体" w:hAnsi="宋体" w:eastAsia="宋体" w:cs="Times New Roman"/>
          <w:sz w:val="24"/>
          <w:lang w:val="en-US" w:eastAsia="zh-CN"/>
        </w:rPr>
        <w:t xml:space="preserve"> </w:t>
      </w:r>
      <w:r>
        <w:rPr>
          <w:rFonts w:hint="eastAsia" w:ascii="宋体" w:hAnsi="宋体" w:eastAsia="宋体" w:cs="Times New Roman"/>
          <w:sz w:val="24"/>
        </w:rPr>
        <w:t>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4.2 </w:t>
      </w:r>
      <w:r>
        <w:rPr>
          <w:rFonts w:hint="eastAsia" w:ascii="宋体" w:hAnsi="宋体" w:eastAsia="宋体" w:cs="Times New Roman"/>
          <w:sz w:val="24"/>
          <w:lang w:val="en-US" w:eastAsia="zh-CN"/>
        </w:rPr>
        <w:t xml:space="preserve"> </w:t>
      </w:r>
      <w:r>
        <w:rPr>
          <w:rFonts w:hint="eastAsia" w:ascii="宋体" w:hAnsi="宋体" w:eastAsia="宋体" w:cs="Times New Roman"/>
          <w:sz w:val="24"/>
        </w:rPr>
        <w:t>每件包装箱内应附一份详细装箱单和质量合格证。</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71" w:name="_Toc220313484"/>
      <w:bookmarkStart w:id="672" w:name="_Toc487900353"/>
      <w:r>
        <w:rPr>
          <w:rFonts w:hint="eastAsia" w:ascii="宋体" w:hAnsi="宋体" w:eastAsia="宋体" w:cs="Times New Roman"/>
          <w:b/>
          <w:bCs/>
          <w:sz w:val="24"/>
        </w:rPr>
        <w:t>5</w:t>
      </w:r>
      <w:r>
        <w:rPr>
          <w:rFonts w:hint="eastAsia" w:ascii="宋体" w:hAnsi="宋体" w:eastAsia="宋体" w:cs="Times New Roman"/>
          <w:b/>
          <w:bCs/>
          <w:sz w:val="24"/>
          <w:lang w:eastAsia="zh-CN"/>
        </w:rPr>
        <w:t>、</w:t>
      </w:r>
      <w:r>
        <w:rPr>
          <w:rFonts w:hint="eastAsia" w:ascii="宋体" w:hAnsi="宋体" w:eastAsia="宋体" w:cs="Times New Roman"/>
          <w:b/>
          <w:bCs/>
          <w:sz w:val="24"/>
        </w:rPr>
        <w:t>装运标志</w:t>
      </w:r>
      <w:bookmarkEnd w:id="671"/>
      <w:bookmarkEnd w:id="672"/>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5.1</w:t>
      </w:r>
      <w:r>
        <w:rPr>
          <w:rFonts w:hint="eastAsia" w:ascii="宋体" w:hAnsi="宋体" w:eastAsia="宋体" w:cs="Times New Roman"/>
          <w:sz w:val="24"/>
          <w:lang w:val="en-US" w:eastAsia="zh-CN"/>
        </w:rPr>
        <w:t xml:space="preserve"> </w:t>
      </w:r>
      <w:r>
        <w:rPr>
          <w:rFonts w:hint="eastAsia" w:ascii="宋体" w:hAnsi="宋体" w:eastAsia="宋体" w:cs="Times New Roman"/>
          <w:sz w:val="24"/>
        </w:rPr>
        <w:t>卖方应在每一包装箱的四面用不褪色的油漆以醒目的中文字样做出下列标记：</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收货人：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合同号：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装运标志：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收货人代号：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目的地：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货物名称、品目号和箱号：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毛重／净重：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尺寸(长×宽×高以厘米计)：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5.2 </w:t>
      </w:r>
      <w:r>
        <w:rPr>
          <w:rFonts w:hint="eastAsia" w:ascii="宋体" w:hAnsi="宋体" w:eastAsia="宋体" w:cs="Times New Roman"/>
          <w:sz w:val="24"/>
          <w:lang w:val="en-US" w:eastAsia="zh-CN"/>
        </w:rPr>
        <w:t xml:space="preserve"> </w:t>
      </w:r>
      <w:r>
        <w:rPr>
          <w:rFonts w:hint="eastAsia" w:ascii="宋体" w:hAnsi="宋体" w:eastAsia="宋体" w:cs="Times New Roman"/>
          <w:sz w:val="24"/>
        </w:rPr>
        <w:t>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73" w:name="_Toc487900354"/>
      <w:bookmarkStart w:id="674" w:name="_Ref467379536"/>
      <w:bookmarkStart w:id="675" w:name="_Ref467378591"/>
      <w:bookmarkStart w:id="676" w:name="_Ref467379542"/>
      <w:bookmarkStart w:id="677" w:name="_Toc220313485"/>
      <w:bookmarkStart w:id="678" w:name="_Ref467379527"/>
      <w:bookmarkStart w:id="679" w:name="_Ref467378541"/>
      <w:r>
        <w:rPr>
          <w:rFonts w:hint="eastAsia" w:ascii="宋体" w:hAnsi="宋体" w:eastAsia="宋体" w:cs="Times New Roman"/>
          <w:b/>
          <w:bCs/>
          <w:sz w:val="24"/>
        </w:rPr>
        <w:t>6</w:t>
      </w:r>
      <w:r>
        <w:rPr>
          <w:rFonts w:hint="eastAsia" w:ascii="宋体" w:hAnsi="宋体" w:eastAsia="宋体" w:cs="Times New Roman"/>
          <w:b/>
          <w:bCs/>
          <w:sz w:val="24"/>
          <w:lang w:eastAsia="zh-CN"/>
        </w:rPr>
        <w:t>、</w:t>
      </w:r>
      <w:r>
        <w:rPr>
          <w:rFonts w:hint="eastAsia" w:ascii="宋体" w:hAnsi="宋体" w:eastAsia="宋体" w:cs="Times New Roman"/>
          <w:b/>
          <w:bCs/>
          <w:sz w:val="24"/>
        </w:rPr>
        <w:t>交货方式</w:t>
      </w:r>
      <w:bookmarkEnd w:id="673"/>
      <w:bookmarkEnd w:id="674"/>
      <w:bookmarkEnd w:id="675"/>
      <w:bookmarkEnd w:id="676"/>
      <w:bookmarkEnd w:id="677"/>
      <w:bookmarkEnd w:id="678"/>
      <w:bookmarkEnd w:id="679"/>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680" w:name="_Ref467379657"/>
      <w:r>
        <w:rPr>
          <w:rFonts w:hint="eastAsia" w:ascii="宋体" w:hAnsi="宋体" w:eastAsia="宋体" w:cs="Times New Roman"/>
          <w:sz w:val="24"/>
        </w:rPr>
        <w:t xml:space="preserve">6.1 </w:t>
      </w:r>
      <w:r>
        <w:rPr>
          <w:rFonts w:hint="eastAsia" w:ascii="宋体" w:hAnsi="宋体" w:eastAsia="宋体" w:cs="Times New Roman"/>
          <w:sz w:val="24"/>
          <w:lang w:val="en-US" w:eastAsia="zh-CN"/>
        </w:rPr>
        <w:t xml:space="preserve"> </w:t>
      </w:r>
      <w:r>
        <w:rPr>
          <w:rFonts w:hint="eastAsia" w:ascii="宋体" w:hAnsi="宋体" w:eastAsia="宋体" w:cs="Times New Roman"/>
          <w:sz w:val="24"/>
        </w:rPr>
        <w:t>交货方式一般为下列其中一种，具体在合同专用条款中规定。</w:t>
      </w:r>
      <w:bookmarkEnd w:id="68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6.1.1 </w:t>
      </w:r>
      <w:r>
        <w:rPr>
          <w:rFonts w:hint="eastAsia" w:ascii="宋体" w:hAnsi="宋体" w:eastAsia="宋体" w:cs="Times New Roman"/>
          <w:sz w:val="24"/>
          <w:lang w:val="en-US" w:eastAsia="zh-CN"/>
        </w:rPr>
        <w:t xml:space="preserve"> </w:t>
      </w:r>
      <w:r>
        <w:rPr>
          <w:rFonts w:hint="eastAsia" w:ascii="宋体" w:hAnsi="宋体" w:eastAsia="宋体" w:cs="Times New Roman"/>
          <w:sz w:val="24"/>
        </w:rPr>
        <w:t>现场交货：交货地点为买方指定的地点，即为本合同的履行地。卖方负责办理运输和保险，将货物运抵现场。有关运输和保险的一切费用由卖方承担。所有货物运抵现场（且资料手续齐全、货物及资料经买方验收）的日期为交货日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6.1.2 </w:t>
      </w:r>
      <w:r>
        <w:rPr>
          <w:rFonts w:hint="eastAsia" w:ascii="宋体" w:hAnsi="宋体" w:eastAsia="宋体" w:cs="Times New Roman"/>
          <w:sz w:val="24"/>
          <w:lang w:val="en-US" w:eastAsia="zh-CN"/>
        </w:rPr>
        <w:t xml:space="preserve"> </w:t>
      </w:r>
      <w:r>
        <w:rPr>
          <w:rFonts w:hint="eastAsia" w:ascii="宋体" w:hAnsi="宋体" w:eastAsia="宋体" w:cs="Times New Roman"/>
          <w:sz w:val="24"/>
        </w:rPr>
        <w:t>工厂交货：由卖方负责代办运输和保险事宜。运输费和保险费由买方承担。运输部门出具收据的日期为交货日期。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6.1.3 </w:t>
      </w:r>
      <w:r>
        <w:rPr>
          <w:rFonts w:hint="eastAsia" w:ascii="宋体" w:hAnsi="宋体" w:eastAsia="宋体" w:cs="Times New Roman"/>
          <w:sz w:val="24"/>
          <w:lang w:val="en-US" w:eastAsia="zh-CN"/>
        </w:rPr>
        <w:t xml:space="preserve"> </w:t>
      </w:r>
      <w:r>
        <w:rPr>
          <w:rFonts w:hint="eastAsia" w:ascii="宋体" w:hAnsi="宋体" w:eastAsia="宋体" w:cs="Times New Roman"/>
          <w:sz w:val="24"/>
        </w:rPr>
        <w:t>买方自提货物：由买方在合同规定地点自行办理提货。提单日期为交货日期。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6.2 </w:t>
      </w:r>
      <w:r>
        <w:rPr>
          <w:rFonts w:hint="eastAsia" w:ascii="宋体" w:hAnsi="宋体" w:eastAsia="宋体" w:cs="Times New Roman"/>
          <w:sz w:val="24"/>
          <w:lang w:val="en-US" w:eastAsia="zh-CN"/>
        </w:rPr>
        <w:t xml:space="preserve"> </w:t>
      </w:r>
      <w:r>
        <w:rPr>
          <w:rFonts w:hint="eastAsia" w:ascii="宋体" w:hAnsi="宋体" w:eastAsia="宋体" w:cs="Times New Roman"/>
          <w:sz w:val="24"/>
        </w:rPr>
        <w:t>卖方应在合同专用条款规定时间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6.3 在现场交货和工厂交货条件下，卖方装运的货物不应超过合同规定的数量或重量。否则，卖方应对超运部分引起的一切后果负责。</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81" w:name="_Toc220313486"/>
      <w:bookmarkStart w:id="682" w:name="_Toc487900355"/>
      <w:r>
        <w:rPr>
          <w:rFonts w:hint="eastAsia" w:ascii="宋体" w:hAnsi="宋体" w:eastAsia="宋体" w:cs="Times New Roman"/>
          <w:b/>
          <w:bCs/>
          <w:sz w:val="24"/>
        </w:rPr>
        <w:t>7</w:t>
      </w:r>
      <w:r>
        <w:rPr>
          <w:rFonts w:hint="eastAsia" w:ascii="宋体" w:hAnsi="宋体" w:eastAsia="宋体" w:cs="Times New Roman"/>
          <w:b/>
          <w:bCs/>
          <w:sz w:val="24"/>
          <w:lang w:eastAsia="zh-CN"/>
        </w:rPr>
        <w:t>、</w:t>
      </w:r>
      <w:r>
        <w:rPr>
          <w:rFonts w:hint="eastAsia" w:ascii="宋体" w:hAnsi="宋体" w:eastAsia="宋体" w:cs="Times New Roman"/>
          <w:b/>
          <w:bCs/>
          <w:sz w:val="24"/>
        </w:rPr>
        <w:t>装运通知</w:t>
      </w:r>
      <w:bookmarkEnd w:id="681"/>
      <w:bookmarkEnd w:id="682"/>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7.1</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在现场交货和工厂交货条件下的货物，卖方通知买方货物已备妥待运输后24小时之内，应将合同号、货名、数量、毛重、总体积(立方米)、发票金额、运输工具名称及装运日期，以电报或传真通知买方。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7.2 </w:t>
      </w:r>
      <w:r>
        <w:rPr>
          <w:rFonts w:hint="eastAsia" w:ascii="宋体" w:hAnsi="宋体" w:eastAsia="宋体" w:cs="Times New Roman"/>
          <w:sz w:val="24"/>
          <w:lang w:val="en-US" w:eastAsia="zh-CN"/>
        </w:rPr>
        <w:t xml:space="preserve"> </w:t>
      </w:r>
      <w:r>
        <w:rPr>
          <w:rFonts w:hint="eastAsia" w:ascii="宋体" w:hAnsi="宋体" w:eastAsia="宋体" w:cs="Times New Roman"/>
          <w:sz w:val="24"/>
        </w:rPr>
        <w:t>如因卖方延误将上述内容用电报或传真通知买方，由此引起的一切后果损失应由卖方负责。</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83" w:name="_Ref467379807"/>
      <w:bookmarkStart w:id="684" w:name="_Toc487900357"/>
      <w:bookmarkStart w:id="685" w:name="_Ref467379793"/>
      <w:bookmarkStart w:id="686" w:name="_Toc220313487"/>
      <w:r>
        <w:rPr>
          <w:rFonts w:hint="eastAsia" w:ascii="宋体" w:hAnsi="宋体" w:eastAsia="宋体" w:cs="Times New Roman"/>
          <w:b/>
          <w:bCs/>
          <w:sz w:val="24"/>
        </w:rPr>
        <w:t>8</w:t>
      </w:r>
      <w:r>
        <w:rPr>
          <w:rFonts w:hint="eastAsia" w:ascii="宋体" w:hAnsi="宋体" w:eastAsia="宋体" w:cs="Times New Roman"/>
          <w:b/>
          <w:bCs/>
          <w:sz w:val="24"/>
          <w:lang w:eastAsia="zh-CN"/>
        </w:rPr>
        <w:t>、</w:t>
      </w:r>
      <w:r>
        <w:rPr>
          <w:rFonts w:hint="eastAsia" w:ascii="宋体" w:hAnsi="宋体" w:eastAsia="宋体" w:cs="Times New Roman"/>
          <w:b/>
          <w:bCs/>
          <w:sz w:val="24"/>
        </w:rPr>
        <w:t>付款条件</w:t>
      </w:r>
      <w:bookmarkEnd w:id="683"/>
      <w:bookmarkEnd w:id="684"/>
      <w:bookmarkEnd w:id="685"/>
      <w:bookmarkEnd w:id="686"/>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rPr>
        <w:t>付款条件见合同专用条款。</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87" w:name="_Toc487900358"/>
      <w:bookmarkStart w:id="688" w:name="_Toc220313488"/>
      <w:bookmarkStart w:id="689" w:name="_Ref467379923"/>
      <w:bookmarkStart w:id="690" w:name="_Ref467379852"/>
      <w:bookmarkStart w:id="691" w:name="_Ref467379863"/>
      <w:r>
        <w:rPr>
          <w:rFonts w:hint="eastAsia" w:ascii="宋体" w:hAnsi="宋体" w:eastAsia="宋体" w:cs="Times New Roman"/>
          <w:b/>
          <w:bCs/>
          <w:sz w:val="24"/>
        </w:rPr>
        <w:t>9</w:t>
      </w:r>
      <w:r>
        <w:rPr>
          <w:rFonts w:hint="eastAsia" w:ascii="宋体" w:hAnsi="宋体" w:eastAsia="宋体" w:cs="Times New Roman"/>
          <w:b/>
          <w:bCs/>
          <w:sz w:val="24"/>
          <w:lang w:eastAsia="zh-CN"/>
        </w:rPr>
        <w:t>、</w:t>
      </w:r>
      <w:r>
        <w:rPr>
          <w:rFonts w:hint="eastAsia" w:ascii="宋体" w:hAnsi="宋体" w:eastAsia="宋体" w:cs="Times New Roman"/>
          <w:b/>
          <w:bCs/>
          <w:sz w:val="24"/>
        </w:rPr>
        <w:t>技术资料</w:t>
      </w:r>
      <w:bookmarkEnd w:id="687"/>
      <w:bookmarkEnd w:id="688"/>
      <w:bookmarkEnd w:id="689"/>
      <w:bookmarkEnd w:id="690"/>
      <w:bookmarkEnd w:id="691"/>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9.1 </w:t>
      </w:r>
      <w:r>
        <w:rPr>
          <w:rFonts w:hint="eastAsia" w:ascii="宋体" w:hAnsi="宋体" w:eastAsia="宋体" w:cs="Times New Roman"/>
          <w:sz w:val="24"/>
          <w:lang w:val="en-US" w:eastAsia="zh-CN"/>
        </w:rPr>
        <w:t xml:space="preserve"> </w:t>
      </w:r>
      <w:r>
        <w:rPr>
          <w:rFonts w:hint="eastAsia" w:ascii="宋体" w:hAnsi="宋体" w:eastAsia="宋体" w:cs="Times New Roman"/>
          <w:sz w:val="24"/>
        </w:rPr>
        <w:t>合同项下技术资料(除合同特殊条款规定外)将以下列方式交付：</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在合同专用条款规定时间内，卖方应将每台设备和仪器的中文技术资料一套，如目录索引、图纸、操作手册、使用指南、维修指南和／或服务手册和示意图寄给买方。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9.2 另外一套完整的上述资料应包装好随同每批货物一起发运。</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9.3 如果买方确认卖方提供的技术资料不完整或在运输过程中丢失，卖方将在合同专用条款规定时间内将这些资料免费寄给买方。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92" w:name="_Ref467377962"/>
      <w:bookmarkStart w:id="693" w:name="_Toc487900359"/>
      <w:bookmarkStart w:id="694" w:name="_Ref467379946"/>
      <w:bookmarkStart w:id="695" w:name="_Toc220313489"/>
      <w:bookmarkStart w:id="696" w:name="_Ref467379937"/>
      <w:bookmarkStart w:id="697" w:name="_Ref467377798"/>
      <w:r>
        <w:rPr>
          <w:rFonts w:hint="eastAsia" w:ascii="宋体" w:hAnsi="宋体" w:eastAsia="宋体" w:cs="Times New Roman"/>
          <w:b/>
          <w:bCs/>
          <w:sz w:val="24"/>
        </w:rPr>
        <w:t>10</w:t>
      </w:r>
      <w:r>
        <w:rPr>
          <w:rFonts w:hint="eastAsia" w:ascii="宋体" w:hAnsi="宋体" w:eastAsia="宋体" w:cs="Times New Roman"/>
          <w:b/>
          <w:bCs/>
          <w:sz w:val="24"/>
          <w:lang w:eastAsia="zh-CN"/>
        </w:rPr>
        <w:t>、</w:t>
      </w:r>
      <w:r>
        <w:rPr>
          <w:rFonts w:hint="eastAsia" w:ascii="宋体" w:hAnsi="宋体" w:eastAsia="宋体" w:cs="Times New Roman"/>
          <w:b/>
          <w:bCs/>
          <w:sz w:val="24"/>
        </w:rPr>
        <w:t>质量保证</w:t>
      </w:r>
      <w:bookmarkEnd w:id="692"/>
      <w:bookmarkEnd w:id="693"/>
      <w:bookmarkEnd w:id="694"/>
      <w:bookmarkEnd w:id="695"/>
      <w:bookmarkEnd w:id="696"/>
      <w:bookmarkEnd w:id="697"/>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10.1</w:t>
      </w:r>
      <w:r>
        <w:rPr>
          <w:rFonts w:hint="eastAsia" w:ascii="宋体" w:hAnsi="宋体" w:eastAsia="宋体" w:cs="Times New Roman"/>
          <w:sz w:val="24"/>
          <w:lang w:val="en-US" w:eastAsia="zh-CN"/>
        </w:rPr>
        <w:t xml:space="preserve">  </w:t>
      </w:r>
      <w:r>
        <w:rPr>
          <w:rFonts w:hint="eastAsia" w:ascii="宋体" w:hAnsi="宋体" w:eastAsia="宋体" w:cs="Times New Roman"/>
          <w:sz w:val="24"/>
        </w:rPr>
        <w:t>卖方须保证货物是全新、未使用过的，并完全符合强制性的国家技术质量规范和合同规定的质量、规格、性能和技术规范等的要求。</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10.2</w:t>
      </w:r>
      <w:r>
        <w:rPr>
          <w:rFonts w:hint="eastAsia" w:ascii="宋体" w:hAnsi="宋体" w:eastAsia="宋体" w:cs="Times New Roman"/>
          <w:sz w:val="24"/>
          <w:lang w:val="en-US" w:eastAsia="zh-CN"/>
        </w:rPr>
        <w:t xml:space="preserve">  </w:t>
      </w:r>
      <w:r>
        <w:rPr>
          <w:rFonts w:hint="eastAsia" w:ascii="宋体" w:hAnsi="宋体" w:eastAsia="宋体" w:cs="Times New Roman"/>
          <w:sz w:val="24"/>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10.3</w:t>
      </w:r>
      <w:r>
        <w:rPr>
          <w:rFonts w:hint="eastAsia" w:ascii="宋体" w:hAnsi="宋体" w:eastAsia="宋体" w:cs="Times New Roman"/>
          <w:sz w:val="24"/>
          <w:lang w:val="en-US" w:eastAsia="zh-CN"/>
        </w:rPr>
        <w:t xml:space="preserve">  </w:t>
      </w:r>
      <w:r>
        <w:rPr>
          <w:rFonts w:hint="eastAsia" w:ascii="宋体" w:hAnsi="宋体" w:eastAsia="宋体" w:cs="Times New Roman"/>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合同专用条款规定时间内免费维修或更换有缺陷的货物或部件。</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10.4</w:t>
      </w:r>
      <w:r>
        <w:rPr>
          <w:rFonts w:hint="eastAsia" w:ascii="宋体" w:hAnsi="宋体" w:eastAsia="宋体" w:cs="Times New Roman"/>
          <w:sz w:val="24"/>
          <w:lang w:val="en-US" w:eastAsia="zh-CN"/>
        </w:rPr>
        <w:t xml:space="preserve">  </w:t>
      </w:r>
      <w:r>
        <w:rPr>
          <w:rFonts w:hint="eastAsia" w:ascii="宋体" w:hAnsi="宋体" w:eastAsia="宋体" w:cs="Times New Roman"/>
          <w:sz w:val="24"/>
        </w:rPr>
        <w:t>如果卖方在合同专用条款规定时间内没有弥补缺陷，买方可采取必要的补救措施，但由此引发的风险和费用将由卖方承担。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10.5  除“合同专用条款”规定外，合同项下货物的质量保证期为自货物通过最终验收起12个月。</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98" w:name="_Toc487900360"/>
      <w:bookmarkStart w:id="699" w:name="_Ref467378018"/>
      <w:bookmarkStart w:id="700" w:name="_Toc220313490"/>
      <w:r>
        <w:rPr>
          <w:rFonts w:hint="eastAsia" w:ascii="宋体" w:hAnsi="宋体" w:eastAsia="宋体" w:cs="Times New Roman"/>
          <w:b/>
          <w:bCs/>
          <w:sz w:val="24"/>
          <w:lang w:val="en-US" w:eastAsia="zh-CN"/>
        </w:rPr>
        <w:t>11、</w:t>
      </w:r>
      <w:r>
        <w:rPr>
          <w:rFonts w:hint="eastAsia" w:ascii="宋体" w:hAnsi="宋体" w:eastAsia="宋体" w:cs="Times New Roman"/>
          <w:b/>
          <w:bCs/>
          <w:sz w:val="24"/>
        </w:rPr>
        <w:t>检验</w:t>
      </w:r>
      <w:bookmarkEnd w:id="698"/>
      <w:bookmarkEnd w:id="699"/>
      <w:r>
        <w:rPr>
          <w:rFonts w:hint="eastAsia" w:ascii="宋体" w:hAnsi="宋体" w:eastAsia="宋体" w:cs="Times New Roman"/>
          <w:b/>
          <w:bCs/>
          <w:sz w:val="24"/>
        </w:rPr>
        <w:t>和验收</w:t>
      </w:r>
      <w:bookmarkEnd w:id="70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11.1   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11.2   货物运抵现场后，买方在合同专用条款规定时间内组织验收，并制作验收备忘录，签署验收意见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11.3   买方有在货物制造过程中派员监造的权利, 卖方有义务为买方监造人员行使该权利提供方便。</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11.4   制造厂对所供货物进行机械运转试验和性能试验时，卖方必须提前通知买方。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01" w:name="_Toc487900361"/>
      <w:bookmarkStart w:id="702" w:name="_Toc220313491"/>
      <w:r>
        <w:rPr>
          <w:rFonts w:hint="eastAsia" w:ascii="宋体" w:hAnsi="宋体" w:eastAsia="宋体" w:cs="Times New Roman"/>
          <w:b/>
          <w:bCs/>
          <w:sz w:val="24"/>
        </w:rPr>
        <w:t>1</w:t>
      </w:r>
      <w:r>
        <w:rPr>
          <w:rFonts w:hint="eastAsia" w:ascii="宋体" w:hAnsi="宋体" w:eastAsia="宋体" w:cs="Times New Roman"/>
          <w:b/>
          <w:bCs/>
          <w:sz w:val="24"/>
          <w:lang w:val="en-US" w:eastAsia="zh-CN"/>
        </w:rPr>
        <w:t>2、</w:t>
      </w:r>
      <w:r>
        <w:rPr>
          <w:rFonts w:hint="eastAsia" w:ascii="宋体" w:hAnsi="宋体" w:eastAsia="宋体" w:cs="Times New Roman"/>
          <w:b/>
          <w:bCs/>
          <w:sz w:val="24"/>
        </w:rPr>
        <w:t>索赔</w:t>
      </w:r>
      <w:bookmarkEnd w:id="701"/>
      <w:bookmarkEnd w:id="702"/>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703" w:name="_Ref467378076"/>
      <w:r>
        <w:rPr>
          <w:rFonts w:hint="eastAsia" w:ascii="宋体" w:hAnsi="宋体" w:eastAsia="宋体" w:cs="Times New Roman"/>
          <w:sz w:val="24"/>
        </w:rPr>
        <w:t>12.2   在根据合同第10条和第11条规定的检验期和质量保证期内，如果卖方对买方提出的索赔负有责任，卖方应按照买方同意的下列一种或多种方式解决索赔事宜：</w:t>
      </w:r>
      <w:bookmarkEnd w:id="703"/>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12.2.2  根据货物低劣程度、损坏程度以及买方所遭受损失的数额，经买卖双方商定降低货物的价格，或由有权的部门评估，以降低后的价格或评估价格为准。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12.2.3  用符合规格、质量和性能要求的新零件、部件或货物来更换有缺陷的部分或／和修补缺陷部分，卖方应承担一切费用和风险并负担买方所发生的一切直接费用。同时，卖方应按合同第10条规定，相应延长修补或更换件的质量保证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12.3  如果在买方发出索赔通知后，卖方在合同专用条款规定时间内未作答复，上述索赔应视为已被卖方接受。买方将按照本合同第12.2条规定解决索赔事宜，买方将从合同款或从卖方开具的履约保证金保函中扣回索赔金额。如果这些金额不足以补偿索赔金额，买方有权向卖方提出不足部分的补偿。</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04" w:name="_Toc487900362"/>
      <w:bookmarkStart w:id="705" w:name="_Toc220313492"/>
      <w:r>
        <w:rPr>
          <w:rFonts w:hint="eastAsia" w:ascii="宋体" w:hAnsi="宋体" w:eastAsia="宋体" w:cs="Times New Roman"/>
          <w:b/>
          <w:bCs/>
          <w:sz w:val="24"/>
        </w:rPr>
        <w:t>1</w:t>
      </w:r>
      <w:r>
        <w:rPr>
          <w:rFonts w:hint="eastAsia" w:ascii="宋体" w:hAnsi="宋体" w:eastAsia="宋体" w:cs="Times New Roman"/>
          <w:b/>
          <w:bCs/>
          <w:sz w:val="24"/>
          <w:lang w:val="en-US" w:eastAsia="zh-CN"/>
        </w:rPr>
        <w:t>3、</w:t>
      </w:r>
      <w:r>
        <w:rPr>
          <w:rFonts w:hint="eastAsia" w:ascii="宋体" w:hAnsi="宋体" w:eastAsia="宋体" w:cs="Times New Roman"/>
          <w:b/>
          <w:bCs/>
          <w:sz w:val="24"/>
        </w:rPr>
        <w:t>延迟交货</w:t>
      </w:r>
      <w:bookmarkEnd w:id="704"/>
      <w:bookmarkEnd w:id="705"/>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3</w:t>
      </w:r>
      <w:r>
        <w:rPr>
          <w:rFonts w:hint="eastAsia" w:ascii="宋体" w:hAnsi="宋体" w:eastAsia="宋体" w:cs="Times New Roman"/>
          <w:sz w:val="24"/>
        </w:rPr>
        <w:t>.1  卖方应按照“货物需求一览表及技术规格”中买方规定的时间表交货和提供服务。</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3</w:t>
      </w:r>
      <w:r>
        <w:rPr>
          <w:rFonts w:hint="eastAsia" w:ascii="宋体" w:hAnsi="宋体" w:eastAsia="宋体" w:cs="Times New Roman"/>
          <w:sz w:val="24"/>
        </w:rPr>
        <w:t>.2  如果卖方无正当理由迟延交货，买方有权提出违约损失赔偿或解除合同。</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3</w:t>
      </w:r>
      <w:r>
        <w:rPr>
          <w:rFonts w:hint="eastAsia" w:ascii="宋体" w:hAnsi="宋体" w:eastAsia="宋体" w:cs="Times New Roman"/>
          <w:sz w:val="24"/>
        </w:rPr>
        <w:t>.3  在履行合同过程中，如果卖方遇到不能按时交货和提供服务的情况，应及时以书面形式将不能按时交货的理由、预期延误时间通知买方。买方收到卖方通知后，认为其理由正当的，可酌情延长交货时间。</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06" w:name="_Toc220313493"/>
      <w:bookmarkStart w:id="707" w:name="_Toc487900363"/>
      <w:r>
        <w:rPr>
          <w:rFonts w:hint="eastAsia" w:ascii="宋体" w:hAnsi="宋体" w:eastAsia="宋体" w:cs="Times New Roman"/>
          <w:b/>
          <w:bCs/>
          <w:sz w:val="24"/>
        </w:rPr>
        <w:t>1</w:t>
      </w:r>
      <w:r>
        <w:rPr>
          <w:rFonts w:hint="eastAsia" w:ascii="宋体" w:hAnsi="宋体" w:eastAsia="宋体" w:cs="Times New Roman"/>
          <w:b/>
          <w:bCs/>
          <w:sz w:val="24"/>
          <w:lang w:val="en-US" w:eastAsia="zh-CN"/>
        </w:rPr>
        <w:t>4、</w:t>
      </w:r>
      <w:r>
        <w:rPr>
          <w:rFonts w:hint="eastAsia" w:ascii="宋体" w:hAnsi="宋体" w:eastAsia="宋体" w:cs="Times New Roman"/>
          <w:b/>
          <w:bCs/>
          <w:sz w:val="24"/>
        </w:rPr>
        <w:t>违约赔偿</w:t>
      </w:r>
      <w:bookmarkEnd w:id="706"/>
      <w:bookmarkEnd w:id="707"/>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.1  除合同第15条规定外，如果卖方没有按照合同规定的时间交货和提供服务，买方可要求卖方支付违约金。违约金按每周迟交货物或未提供服务交货价的0.5%计收。一周按７</w:t>
      </w:r>
      <w:r>
        <w:rPr>
          <w:rFonts w:hint="eastAsia" w:ascii="宋体" w:hAnsi="宋体" w:eastAsia="宋体" w:cs="Times New Roman"/>
          <w:sz w:val="24"/>
        </w:rPr>
        <w:t>天计算，不足７天按一周计算。如果达到卖方在买方缴纳履约保证金数额，买方有权解除合同，退回卖方所有货物，并要求卖方退回预付款，即合同额的</w:t>
      </w:r>
      <w:r>
        <w:rPr>
          <w:rFonts w:hint="eastAsia" w:ascii="宋体" w:hAnsi="宋体" w:eastAsia="宋体" w:cs="Times New Roman"/>
          <w:sz w:val="24"/>
          <w:lang w:val="en-US" w:eastAsia="zh-CN"/>
        </w:rPr>
        <w:t>5</w:t>
      </w:r>
      <w:r>
        <w:rPr>
          <w:rFonts w:hint="eastAsia" w:ascii="宋体" w:hAnsi="宋体" w:eastAsia="宋体" w:cs="Times New Roman"/>
          <w:sz w:val="24"/>
        </w:rPr>
        <w:t>0%。</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lang w:val="en-US" w:eastAsia="zh-CN"/>
        </w:rPr>
      </w:pPr>
      <w:bookmarkStart w:id="708" w:name="_Toc487900364"/>
      <w:bookmarkStart w:id="709" w:name="_Ref467378121"/>
      <w:bookmarkStart w:id="710" w:name="_Toc220313494"/>
      <w:r>
        <w:rPr>
          <w:rFonts w:hint="eastAsia" w:ascii="宋体" w:hAnsi="宋体" w:eastAsia="宋体" w:cs="Times New Roman"/>
          <w:sz w:val="24"/>
          <w:lang w:val="en-US" w:eastAsia="zh-CN"/>
        </w:rPr>
        <w:t>14.2如因项目资金拨付审批时间拖延或其他正当理由，致使甲方不能及时支付乙方合同价款时，甲方可以延迟相应合同价款的支付，该延期不能视为甲方违约，同时乙方应当继续履行其相应合同义务。</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1</w:t>
      </w:r>
      <w:r>
        <w:rPr>
          <w:rFonts w:hint="eastAsia" w:ascii="宋体" w:hAnsi="宋体" w:eastAsia="宋体" w:cs="Times New Roman"/>
          <w:b/>
          <w:bCs/>
          <w:sz w:val="24"/>
          <w:highlight w:val="none"/>
          <w:lang w:val="en-US" w:eastAsia="zh-CN"/>
        </w:rPr>
        <w:t>5、</w:t>
      </w:r>
      <w:r>
        <w:rPr>
          <w:rFonts w:hint="eastAsia" w:ascii="宋体" w:hAnsi="宋体" w:eastAsia="宋体" w:cs="Times New Roman"/>
          <w:b/>
          <w:bCs/>
          <w:sz w:val="24"/>
          <w:highlight w:val="none"/>
        </w:rPr>
        <w:t>不可抗力</w:t>
      </w:r>
      <w:bookmarkEnd w:id="708"/>
      <w:bookmarkEnd w:id="709"/>
      <w:bookmarkEnd w:id="71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5</w:t>
      </w:r>
      <w:r>
        <w:rPr>
          <w:rFonts w:hint="eastAsia" w:ascii="宋体" w:hAnsi="宋体" w:eastAsia="宋体" w:cs="Times New Roman"/>
          <w:sz w:val="24"/>
        </w:rPr>
        <w:t>.1  如果双方中任何一方遭遇法律规定的不可抗力，致使合同履行受阻时，履行合同的期限应予延长，延长的期限应相当于不可抗力所影响的时间。</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5</w:t>
      </w:r>
      <w:r>
        <w:rPr>
          <w:rFonts w:hint="eastAsia" w:ascii="宋体" w:hAnsi="宋体" w:eastAsia="宋体" w:cs="Times New Roman"/>
          <w:sz w:val="24"/>
        </w:rPr>
        <w:t>.2  受事故影响的一方应在不可抗力的事故发生后尽快书面形式通知另一方，并在合同专用条款规定时间内，将有关部门出具的证明文件送达另一方。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5</w:t>
      </w:r>
      <w:r>
        <w:rPr>
          <w:rFonts w:hint="eastAsia" w:ascii="宋体" w:hAnsi="宋体" w:eastAsia="宋体" w:cs="Times New Roman"/>
          <w:sz w:val="24"/>
        </w:rPr>
        <w:t xml:space="preserve">.3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不可抗力使合同的某些内容有变更必要的， 双方应在合同专用条款规定时间内达成进一步履行合同的协议。因不可抗力致使合同不能履行的，合同终止。</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5</w:t>
      </w:r>
      <w:r>
        <w:rPr>
          <w:rFonts w:hint="eastAsia" w:ascii="宋体" w:hAnsi="宋体" w:eastAsia="宋体" w:cs="Times New Roman"/>
          <w:sz w:val="24"/>
        </w:rPr>
        <w:t>.4  因不可抗力不能履行民事义务的，不承担民事责任。法律另有规定的，依照其规定。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11" w:name="_Toc487900365"/>
      <w:bookmarkStart w:id="712" w:name="_Toc220313495"/>
      <w:r>
        <w:rPr>
          <w:rFonts w:hint="eastAsia" w:ascii="宋体" w:hAnsi="宋体" w:eastAsia="宋体" w:cs="Times New Roman"/>
          <w:b/>
          <w:bCs/>
          <w:sz w:val="24"/>
        </w:rPr>
        <w:t>1</w:t>
      </w:r>
      <w:r>
        <w:rPr>
          <w:rFonts w:hint="eastAsia" w:ascii="宋体" w:hAnsi="宋体" w:eastAsia="宋体" w:cs="Times New Roman"/>
          <w:b/>
          <w:bCs/>
          <w:sz w:val="24"/>
          <w:lang w:val="en-US" w:eastAsia="zh-CN"/>
        </w:rPr>
        <w:t>6、</w:t>
      </w:r>
      <w:r>
        <w:rPr>
          <w:rFonts w:hint="eastAsia" w:ascii="宋体" w:hAnsi="宋体" w:eastAsia="宋体" w:cs="Times New Roman"/>
          <w:b/>
          <w:bCs/>
          <w:sz w:val="24"/>
        </w:rPr>
        <w:t>税费</w:t>
      </w:r>
      <w:bookmarkEnd w:id="711"/>
      <w:bookmarkEnd w:id="712"/>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6</w:t>
      </w:r>
      <w:r>
        <w:rPr>
          <w:rFonts w:hint="eastAsia" w:ascii="宋体" w:hAnsi="宋体" w:eastAsia="宋体" w:cs="Times New Roman"/>
          <w:sz w:val="24"/>
        </w:rPr>
        <w:t>.1  与本合同有关的一切税费均适用中华人民共和国法律的相关规定。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713" w:name="_Hlt487900425"/>
      <w:bookmarkEnd w:id="713"/>
      <w:bookmarkStart w:id="714" w:name="_Toc487900366"/>
      <w:bookmarkStart w:id="715" w:name="_Toc220313496"/>
      <w:r>
        <w:rPr>
          <w:rFonts w:hint="eastAsia" w:ascii="宋体" w:hAnsi="宋体" w:eastAsia="宋体" w:cs="Times New Roman"/>
          <w:sz w:val="24"/>
        </w:rPr>
        <w:t>1</w:t>
      </w:r>
      <w:r>
        <w:rPr>
          <w:rFonts w:hint="eastAsia" w:ascii="宋体" w:hAnsi="宋体" w:eastAsia="宋体" w:cs="Times New Roman"/>
          <w:sz w:val="24"/>
          <w:lang w:val="en-US" w:eastAsia="zh-CN"/>
        </w:rPr>
        <w:t>7</w:t>
      </w:r>
      <w:r>
        <w:rPr>
          <w:rFonts w:hint="eastAsia" w:ascii="宋体" w:hAnsi="宋体" w:eastAsia="宋体" w:cs="Times New Roman"/>
          <w:sz w:val="24"/>
        </w:rPr>
        <w:t xml:space="preserve">． </w:t>
      </w:r>
      <w:bookmarkEnd w:id="714"/>
      <w:r>
        <w:rPr>
          <w:rFonts w:hint="eastAsia" w:ascii="宋体" w:hAnsi="宋体" w:eastAsia="宋体" w:cs="Times New Roman"/>
          <w:sz w:val="24"/>
        </w:rPr>
        <w:t>合同争议的解决</w:t>
      </w:r>
      <w:bookmarkEnd w:id="715"/>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7</w:t>
      </w:r>
      <w:r>
        <w:rPr>
          <w:rFonts w:hint="eastAsia" w:ascii="宋体" w:hAnsi="宋体" w:eastAsia="宋体" w:cs="Times New Roman"/>
          <w:sz w:val="24"/>
        </w:rPr>
        <w:t>.1  因合同履行中发生的争议，合同当事人双方可通过协商解决。协商不成的，向人民法院提起诉讼。</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7</w:t>
      </w:r>
      <w:r>
        <w:rPr>
          <w:rFonts w:hint="eastAsia" w:ascii="宋体" w:hAnsi="宋体" w:eastAsia="宋体" w:cs="Times New Roman"/>
          <w:sz w:val="24"/>
        </w:rPr>
        <w:t>.2   当事人一方在规定时间内不履行人民法院判决的，另一方可以申请人民法院强制执行。</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7</w:t>
      </w:r>
      <w:r>
        <w:rPr>
          <w:rFonts w:hint="eastAsia" w:ascii="宋体" w:hAnsi="宋体" w:eastAsia="宋体" w:cs="Times New Roman"/>
          <w:sz w:val="24"/>
        </w:rPr>
        <w:t>.3   诉讼费用应由败诉方负担。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16" w:name="_Toc220313497"/>
      <w:bookmarkStart w:id="717" w:name="_Toc487900367"/>
      <w:r>
        <w:rPr>
          <w:rFonts w:hint="eastAsia" w:ascii="宋体" w:hAnsi="宋体" w:eastAsia="宋体" w:cs="Times New Roman"/>
          <w:b/>
          <w:bCs/>
          <w:sz w:val="24"/>
        </w:rPr>
        <w:t>1</w:t>
      </w:r>
      <w:r>
        <w:rPr>
          <w:rFonts w:hint="eastAsia" w:ascii="宋体" w:hAnsi="宋体" w:eastAsia="宋体" w:cs="Times New Roman"/>
          <w:b/>
          <w:bCs/>
          <w:sz w:val="24"/>
          <w:lang w:val="en-US" w:eastAsia="zh-CN"/>
        </w:rPr>
        <w:t>8、</w:t>
      </w:r>
      <w:r>
        <w:rPr>
          <w:rFonts w:hint="eastAsia" w:ascii="宋体" w:hAnsi="宋体" w:eastAsia="宋体" w:cs="Times New Roman"/>
          <w:b/>
          <w:bCs/>
          <w:sz w:val="24"/>
        </w:rPr>
        <w:t>违约解除合同</w:t>
      </w:r>
      <w:bookmarkEnd w:id="716"/>
      <w:bookmarkEnd w:id="717"/>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718" w:name="_Ref467378234"/>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.1   在卖方违约或出现下列情形的情况下，买方可向卖方发出书面通知，部分或全部终止合同，同时保留向卖方追诉的权利。</w:t>
      </w:r>
      <w:bookmarkEnd w:id="718"/>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 xml:space="preserve">.1.1  卖方未能在合同规定的限期或买方同意延长的限期内，提供全部或部分货物的；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.1.2  卖方未能履行合同规定的其它主要义务的；</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.1.3  在本合同履行过程中有腐败和欺诈行为的。</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.1.3.1 “腐败行为”和“欺诈行为”定义如下:</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.1.3.1.1“腐败行为”是指提供/给予/接受或索取任何有价值的东西来影响买方在合同签订、履行过程中的行为。</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.1.3.1.2“欺诈行为”是指为了影响合同签订、履行过程，以谎报事实的方法，损害买方的利益的行为。</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.2   在买方根据上述第19.1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19" w:name="_Toc487900368"/>
      <w:bookmarkStart w:id="720" w:name="_Toc220313498"/>
      <w:r>
        <w:rPr>
          <w:rFonts w:hint="eastAsia" w:ascii="宋体" w:hAnsi="宋体" w:eastAsia="宋体" w:cs="Times New Roman"/>
          <w:b/>
          <w:bCs/>
          <w:sz w:val="24"/>
          <w:lang w:val="en-US" w:eastAsia="zh-CN"/>
        </w:rPr>
        <w:t>19、</w:t>
      </w:r>
      <w:r>
        <w:rPr>
          <w:rFonts w:hint="eastAsia" w:ascii="宋体" w:hAnsi="宋体" w:eastAsia="宋体" w:cs="Times New Roman"/>
          <w:b/>
          <w:bCs/>
          <w:sz w:val="24"/>
        </w:rPr>
        <w:t>破产终止合同</w:t>
      </w:r>
      <w:bookmarkEnd w:id="719"/>
      <w:bookmarkEnd w:id="72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lang w:val="en-US" w:eastAsia="zh-CN"/>
        </w:rPr>
        <w:t>19</w:t>
      </w:r>
      <w:r>
        <w:rPr>
          <w:rFonts w:hint="eastAsia" w:ascii="宋体" w:hAnsi="宋体" w:eastAsia="宋体" w:cs="Times New Roman"/>
          <w:sz w:val="24"/>
        </w:rPr>
        <w:t>.1  如果卖方破产导致事实上不能继续履行合同义务时，买方有权以书面形式通知卖方合同解除，卖方应当对因其自身原因导致的合同目的无法实现的部分承担违约责任。但买方必须以书面形式告知同级政府采购监督管理部门。该合同的终止将不损害或不影响买方已经采取或将要采取的任何行动或补救措施的权利。</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721" w:name="_Toc487900369"/>
      <w:bookmarkStart w:id="722" w:name="_Toc220313499"/>
      <w:r>
        <w:rPr>
          <w:rFonts w:hint="eastAsia" w:ascii="宋体" w:hAnsi="宋体" w:eastAsia="宋体" w:cs="Times New Roman"/>
          <w:b/>
          <w:bCs/>
          <w:sz w:val="24"/>
        </w:rPr>
        <w:t>2</w:t>
      </w:r>
      <w:r>
        <w:rPr>
          <w:rFonts w:hint="eastAsia" w:ascii="宋体" w:hAnsi="宋体" w:eastAsia="宋体" w:cs="Times New Roman"/>
          <w:b/>
          <w:bCs/>
          <w:sz w:val="24"/>
          <w:lang w:val="en-US" w:eastAsia="zh-CN"/>
        </w:rPr>
        <w:t>0、</w:t>
      </w:r>
      <w:r>
        <w:rPr>
          <w:rFonts w:hint="eastAsia" w:ascii="宋体" w:hAnsi="宋体" w:eastAsia="宋体" w:cs="Times New Roman"/>
          <w:b/>
          <w:bCs/>
          <w:sz w:val="24"/>
        </w:rPr>
        <w:t>转让和分包</w:t>
      </w:r>
      <w:bookmarkEnd w:id="721"/>
      <w:bookmarkEnd w:id="722"/>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0</w:t>
      </w:r>
      <w:r>
        <w:rPr>
          <w:rFonts w:hint="eastAsia" w:ascii="宋体" w:hAnsi="宋体" w:eastAsia="宋体" w:cs="Times New Roman"/>
          <w:sz w:val="24"/>
        </w:rPr>
        <w:t>.1   本采购合同不得转让或分包。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723" w:name="_Toc487900370"/>
      <w:bookmarkStart w:id="724" w:name="_Toc220313500"/>
      <w:r>
        <w:rPr>
          <w:rFonts w:hint="eastAsia" w:ascii="宋体" w:hAnsi="宋体" w:eastAsia="宋体" w:cs="Times New Roman"/>
          <w:sz w:val="24"/>
        </w:rPr>
        <w:t>2</w:t>
      </w:r>
      <w:r>
        <w:rPr>
          <w:rFonts w:hint="eastAsia" w:ascii="宋体" w:hAnsi="宋体" w:eastAsia="宋体" w:cs="Times New Roman"/>
          <w:sz w:val="24"/>
          <w:lang w:val="en-US" w:eastAsia="zh-CN"/>
        </w:rPr>
        <w:t>1</w:t>
      </w:r>
      <w:r>
        <w:rPr>
          <w:rFonts w:hint="eastAsia" w:ascii="宋体" w:hAnsi="宋体" w:eastAsia="宋体" w:cs="Times New Roman"/>
          <w:sz w:val="24"/>
        </w:rPr>
        <w:t>． 合同修改</w:t>
      </w:r>
      <w:bookmarkEnd w:id="723"/>
      <w:bookmarkEnd w:id="724"/>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1</w:t>
      </w:r>
      <w:r>
        <w:rPr>
          <w:rFonts w:hint="eastAsia" w:ascii="宋体" w:hAnsi="宋体" w:eastAsia="宋体" w:cs="Times New Roman"/>
          <w:sz w:val="24"/>
        </w:rPr>
        <w:t>.1   买方和卖方都不得擅自变更本合同，但合同继续履行将损害国家和社会公共利益的除外。如必须对合同条款进行改动时，当事人双方须共同签署书面文件，作为合同的补充，并报同级政府采购监督管理部门备案。</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725" w:name="_Toc487900371"/>
      <w:bookmarkStart w:id="726" w:name="_Toc220313501"/>
      <w:r>
        <w:rPr>
          <w:rFonts w:hint="eastAsia" w:ascii="宋体" w:hAnsi="宋体" w:eastAsia="宋体" w:cs="Times New Roman"/>
          <w:b/>
          <w:bCs/>
          <w:sz w:val="24"/>
        </w:rPr>
        <w:t>2</w:t>
      </w:r>
      <w:r>
        <w:rPr>
          <w:rFonts w:hint="eastAsia" w:ascii="宋体" w:hAnsi="宋体" w:eastAsia="宋体" w:cs="Times New Roman"/>
          <w:b/>
          <w:bCs/>
          <w:sz w:val="24"/>
          <w:lang w:val="en-US" w:eastAsia="zh-CN"/>
        </w:rPr>
        <w:t>2、</w:t>
      </w:r>
      <w:r>
        <w:rPr>
          <w:rFonts w:hint="eastAsia" w:ascii="宋体" w:hAnsi="宋体" w:eastAsia="宋体" w:cs="Times New Roman"/>
          <w:b/>
          <w:bCs/>
          <w:sz w:val="24"/>
        </w:rPr>
        <w:t>通知</w:t>
      </w:r>
      <w:bookmarkEnd w:id="725"/>
      <w:bookmarkEnd w:id="726"/>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2</w:t>
      </w:r>
      <w:r>
        <w:rPr>
          <w:rFonts w:hint="eastAsia" w:ascii="宋体" w:hAnsi="宋体" w:eastAsia="宋体" w:cs="Times New Roman"/>
          <w:sz w:val="24"/>
        </w:rPr>
        <w:t>.1   本合同任何一方给另一方的通知，都应以书面形式发送，而另一方也应以书面形式确认并发送到对方明确的地址。</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27" w:name="_Toc487900372"/>
      <w:bookmarkStart w:id="728" w:name="_Toc220313502"/>
      <w:r>
        <w:rPr>
          <w:rFonts w:hint="eastAsia" w:ascii="宋体" w:hAnsi="宋体" w:eastAsia="宋体" w:cs="Times New Roman"/>
          <w:b/>
          <w:bCs/>
          <w:sz w:val="24"/>
        </w:rPr>
        <w:t>2</w:t>
      </w:r>
      <w:r>
        <w:rPr>
          <w:rFonts w:hint="eastAsia" w:ascii="宋体" w:hAnsi="宋体" w:eastAsia="宋体" w:cs="Times New Roman"/>
          <w:b/>
          <w:bCs/>
          <w:sz w:val="24"/>
          <w:lang w:val="en-US" w:eastAsia="zh-CN"/>
        </w:rPr>
        <w:t>3、</w:t>
      </w:r>
      <w:r>
        <w:rPr>
          <w:rFonts w:hint="eastAsia" w:ascii="宋体" w:hAnsi="宋体" w:eastAsia="宋体" w:cs="Times New Roman"/>
          <w:b/>
          <w:bCs/>
          <w:sz w:val="24"/>
        </w:rPr>
        <w:t>计量单位</w:t>
      </w:r>
      <w:bookmarkEnd w:id="727"/>
      <w:bookmarkEnd w:id="728"/>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3</w:t>
      </w:r>
      <w:r>
        <w:rPr>
          <w:rFonts w:hint="eastAsia" w:ascii="宋体" w:hAnsi="宋体" w:eastAsia="宋体" w:cs="Times New Roman"/>
          <w:sz w:val="24"/>
        </w:rPr>
        <w:t>.1   除技术规范中另有规定外,计量单位均使用国家法定计量单位。</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29" w:name="_Toc220313503"/>
      <w:bookmarkStart w:id="730" w:name="_Toc487900373"/>
      <w:r>
        <w:rPr>
          <w:rFonts w:hint="eastAsia" w:ascii="宋体" w:hAnsi="宋体" w:eastAsia="宋体" w:cs="Times New Roman"/>
          <w:b/>
          <w:bCs/>
          <w:sz w:val="24"/>
        </w:rPr>
        <w:t>2</w:t>
      </w:r>
      <w:r>
        <w:rPr>
          <w:rFonts w:hint="eastAsia" w:ascii="宋体" w:hAnsi="宋体" w:eastAsia="宋体" w:cs="Times New Roman"/>
          <w:b/>
          <w:bCs/>
          <w:sz w:val="24"/>
          <w:lang w:val="en-US" w:eastAsia="zh-CN"/>
        </w:rPr>
        <w:t>4、</w:t>
      </w:r>
      <w:r>
        <w:rPr>
          <w:rFonts w:hint="eastAsia" w:ascii="宋体" w:hAnsi="宋体" w:eastAsia="宋体" w:cs="Times New Roman"/>
          <w:b/>
          <w:bCs/>
          <w:sz w:val="24"/>
        </w:rPr>
        <w:t>适用法律</w:t>
      </w:r>
      <w:bookmarkEnd w:id="729"/>
      <w:bookmarkEnd w:id="73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4</w:t>
      </w:r>
      <w:r>
        <w:rPr>
          <w:rFonts w:hint="eastAsia" w:ascii="宋体" w:hAnsi="宋体" w:eastAsia="宋体" w:cs="Times New Roman"/>
          <w:sz w:val="24"/>
        </w:rPr>
        <w:t>.1   本合同应按照中华人民共和国的法律进行解释。</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31" w:name="_Toc220313504"/>
      <w:bookmarkStart w:id="732" w:name="_Toc487900374"/>
      <w:r>
        <w:rPr>
          <w:rFonts w:hint="eastAsia" w:ascii="宋体" w:hAnsi="宋体" w:eastAsia="宋体" w:cs="Times New Roman"/>
          <w:b/>
          <w:bCs/>
          <w:sz w:val="24"/>
        </w:rPr>
        <w:t>2</w:t>
      </w:r>
      <w:r>
        <w:rPr>
          <w:rFonts w:hint="eastAsia" w:ascii="宋体" w:hAnsi="宋体" w:eastAsia="宋体" w:cs="Times New Roman"/>
          <w:b/>
          <w:bCs/>
          <w:sz w:val="24"/>
          <w:lang w:val="en-US" w:eastAsia="zh-CN"/>
        </w:rPr>
        <w:t>5、</w:t>
      </w:r>
      <w:r>
        <w:rPr>
          <w:rFonts w:hint="eastAsia" w:ascii="宋体" w:hAnsi="宋体" w:eastAsia="宋体" w:cs="Times New Roman"/>
          <w:b/>
          <w:bCs/>
          <w:sz w:val="24"/>
        </w:rPr>
        <w:t>履约保证金</w:t>
      </w:r>
      <w:bookmarkEnd w:id="731"/>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5</w:t>
      </w:r>
      <w:r>
        <w:rPr>
          <w:rFonts w:hint="eastAsia" w:ascii="宋体" w:hAnsi="宋体" w:eastAsia="宋体" w:cs="Times New Roman"/>
          <w:sz w:val="24"/>
        </w:rPr>
        <w:t>.1   卖方应按合同专用条款规定缴纳履约保证金。</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5</w:t>
      </w:r>
      <w:r>
        <w:rPr>
          <w:rFonts w:hint="eastAsia" w:ascii="宋体" w:hAnsi="宋体" w:eastAsia="宋体" w:cs="Times New Roman"/>
          <w:sz w:val="24"/>
        </w:rPr>
        <w:t>.2   履约保证金用于补偿买方因卖方不能履行其合同义务而蒙受的损失。</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5</w:t>
      </w:r>
      <w:r>
        <w:rPr>
          <w:rFonts w:hint="eastAsia" w:ascii="宋体" w:hAnsi="宋体" w:eastAsia="宋体" w:cs="Times New Roman"/>
          <w:sz w:val="24"/>
        </w:rPr>
        <w:t>.3   履约保证金应使用本合同货币，按下述方式之一提交：</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A.买方可接受的在中华人民共和国注册和营业的银行，按招标文件提供的格式（附件8），或其他买方可接受的格式。</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B. 支票、汇票。</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C. 政府采购利用担保试点范围内的项目，中标供应商可以按照财政部门的规定，向采购人提供合格的履约担保函。</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5</w:t>
      </w:r>
      <w:r>
        <w:rPr>
          <w:rFonts w:hint="eastAsia" w:ascii="宋体" w:hAnsi="宋体" w:eastAsia="宋体" w:cs="Times New Roman"/>
          <w:sz w:val="24"/>
        </w:rPr>
        <w:t>.4  本合同约定产品质量保证期满后，履约保证金无息返还。</w:t>
      </w:r>
    </w:p>
    <w:bookmarkEnd w:id="732"/>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lang w:eastAsia="zh-CN"/>
        </w:rPr>
      </w:pPr>
      <w:r>
        <w:rPr>
          <w:rFonts w:hint="eastAsia" w:ascii="宋体" w:hAnsi="宋体" w:eastAsia="宋体" w:cs="Times New Roman"/>
          <w:b/>
          <w:bCs/>
          <w:sz w:val="24"/>
        </w:rPr>
        <w:t>26</w:t>
      </w:r>
      <w:r>
        <w:rPr>
          <w:rFonts w:hint="eastAsia" w:ascii="宋体" w:hAnsi="宋体" w:eastAsia="宋体" w:cs="Times New Roman"/>
          <w:b/>
          <w:bCs/>
          <w:sz w:val="24"/>
          <w:lang w:eastAsia="zh-CN"/>
        </w:rPr>
        <w:t>、</w:t>
      </w:r>
      <w:r>
        <w:rPr>
          <w:rFonts w:hint="eastAsia" w:ascii="宋体" w:hAnsi="宋体" w:eastAsia="宋体" w:cs="Times New Roman"/>
          <w:b/>
          <w:bCs/>
          <w:sz w:val="24"/>
          <w:lang w:val="en-US" w:eastAsia="zh-CN"/>
        </w:rPr>
        <w:t>安全管理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lang w:val="en-US" w:eastAsia="zh-CN"/>
        </w:rPr>
        <w:t>26</w:t>
      </w:r>
      <w:r>
        <w:rPr>
          <w:rFonts w:hint="eastAsia" w:ascii="宋体" w:hAnsi="宋体" w:eastAsia="宋体" w:cs="Times New Roman"/>
          <w:sz w:val="24"/>
        </w:rPr>
        <w:t xml:space="preserve">.1 </w:t>
      </w:r>
      <w:r>
        <w:rPr>
          <w:rFonts w:hint="eastAsia" w:ascii="宋体" w:hAnsi="宋体" w:eastAsia="宋体" w:cs="Times New Roman"/>
          <w:sz w:val="24"/>
          <w:lang w:val="en-US" w:eastAsia="zh-CN"/>
        </w:rPr>
        <w:t xml:space="preserve">  </w:t>
      </w:r>
      <w:r>
        <w:rPr>
          <w:rFonts w:hint="eastAsia" w:ascii="宋体" w:hAnsi="宋体" w:eastAsia="宋体" w:cs="Times New Roman"/>
          <w:sz w:val="24"/>
        </w:rPr>
        <w:t>在本项目实施过程中，卖方应自觉遵守国家及相关主管部门制定的涉及安全生产、安全施工、安全管理方面的法律法规、规章制度、工作标准、操作流程等，加强安全管理，采取安全防范措施，避免安全事故发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26</w:t>
      </w:r>
      <w:r>
        <w:rPr>
          <w:rFonts w:hint="eastAsia" w:ascii="宋体" w:hAnsi="宋体" w:eastAsia="宋体" w:cs="Times New Roman"/>
          <w:sz w:val="24"/>
        </w:rPr>
        <w:t>.2   在货物运输、施工及设备安装调试、维护维修等工作中，发生的安全事故、侵权责任等，全部由卖方承担损失、责任等，与买方无关。</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33" w:name="_Toc220313505"/>
      <w:r>
        <w:rPr>
          <w:rFonts w:hint="eastAsia" w:ascii="宋体" w:hAnsi="宋体" w:eastAsia="宋体" w:cs="Times New Roman"/>
          <w:b/>
          <w:bCs/>
          <w:sz w:val="24"/>
        </w:rPr>
        <w:t>2</w:t>
      </w:r>
      <w:r>
        <w:rPr>
          <w:rFonts w:hint="eastAsia" w:ascii="宋体" w:hAnsi="宋体" w:eastAsia="宋体" w:cs="Times New Roman"/>
          <w:b/>
          <w:bCs/>
          <w:sz w:val="24"/>
          <w:lang w:val="en-US" w:eastAsia="zh-CN"/>
        </w:rPr>
        <w:t>7、</w:t>
      </w:r>
      <w:r>
        <w:rPr>
          <w:rFonts w:hint="eastAsia" w:ascii="宋体" w:hAnsi="宋体" w:eastAsia="宋体" w:cs="Times New Roman"/>
          <w:b/>
          <w:bCs/>
          <w:sz w:val="24"/>
        </w:rPr>
        <w:t>合同生效和其它</w:t>
      </w:r>
      <w:bookmarkEnd w:id="733"/>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734" w:name="_Toc218935339"/>
      <w:bookmarkStart w:id="735" w:name="_Toc219175623"/>
      <w:bookmarkStart w:id="736" w:name="_Toc216513786"/>
      <w:r>
        <w:rPr>
          <w:rFonts w:hint="eastAsia" w:ascii="宋体" w:hAnsi="宋体" w:eastAsia="宋体" w:cs="Times New Roman"/>
          <w:sz w:val="24"/>
        </w:rPr>
        <w:t>2</w:t>
      </w:r>
      <w:r>
        <w:rPr>
          <w:rFonts w:hint="eastAsia" w:ascii="宋体" w:hAnsi="宋体" w:eastAsia="宋体" w:cs="Times New Roman"/>
          <w:sz w:val="24"/>
          <w:lang w:val="en-US" w:eastAsia="zh-CN"/>
        </w:rPr>
        <w:t>7</w:t>
      </w:r>
      <w:r>
        <w:rPr>
          <w:rFonts w:hint="eastAsia" w:ascii="宋体" w:hAnsi="宋体" w:eastAsia="宋体" w:cs="Times New Roman"/>
          <w:sz w:val="24"/>
        </w:rPr>
        <w:t>.1   政府采购项目的采购合同内容的确定应以招标文件和</w:t>
      </w:r>
      <w:r>
        <w:rPr>
          <w:rFonts w:hint="eastAsia" w:ascii="宋体" w:hAnsi="宋体" w:eastAsia="宋体" w:cs="Times New Roman"/>
          <w:sz w:val="24"/>
          <w:lang w:eastAsia="zh-CN"/>
        </w:rPr>
        <w:t>响应文件</w:t>
      </w:r>
      <w:r>
        <w:rPr>
          <w:rFonts w:hint="eastAsia" w:ascii="宋体" w:hAnsi="宋体" w:eastAsia="宋体" w:cs="Times New Roman"/>
          <w:sz w:val="24"/>
        </w:rPr>
        <w:t>为基础，不得违背其实质性内容。政府采购项目的采购合同自签订之日起七个工作日内，买方应当将合同副本报同级政府采购监督管理部门和有关部门备案。合同将在双方签字盖章并由卖方递交履约保证金后开始生效。</w:t>
      </w:r>
      <w:bookmarkEnd w:id="734"/>
      <w:bookmarkEnd w:id="735"/>
      <w:bookmarkEnd w:id="736"/>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7</w:t>
      </w:r>
      <w:r>
        <w:rPr>
          <w:rFonts w:hint="eastAsia" w:ascii="宋体" w:hAnsi="宋体" w:eastAsia="宋体" w:cs="Times New Roman"/>
          <w:sz w:val="24"/>
        </w:rPr>
        <w:t>.2   本合同份数按合同专用条款规定。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sectPr>
          <w:pgSz w:w="11906" w:h="16838"/>
          <w:pgMar w:top="1276" w:right="1134" w:bottom="1134" w:left="1134" w:header="851" w:footer="992" w:gutter="0"/>
          <w:pgNumType w:fmt="decimal"/>
          <w:cols w:space="720" w:num="1"/>
          <w:docGrid w:type="linesAndChars" w:linePitch="312" w:charSpace="0"/>
        </w:sectPr>
      </w:pPr>
    </w:p>
    <w:p>
      <w:pPr>
        <w:keepNext/>
        <w:keepLines/>
        <w:pageBreakBefore w:val="0"/>
        <w:widowControl w:val="0"/>
        <w:kinsoku/>
        <w:wordWrap/>
        <w:overflowPunct/>
        <w:topLinePunct w:val="0"/>
        <w:autoSpaceDE w:val="0"/>
        <w:autoSpaceDN w:val="0"/>
        <w:bidi w:val="0"/>
        <w:adjustRightInd w:val="0"/>
        <w:snapToGrid/>
        <w:textAlignment w:val="auto"/>
        <w:outlineLvl w:val="9"/>
        <w:rPr>
          <w:rFonts w:hint="eastAsia"/>
          <w:b/>
          <w:bCs/>
          <w:sz w:val="24"/>
          <w:szCs w:val="24"/>
        </w:rPr>
      </w:pPr>
      <w:r>
        <w:rPr>
          <w:rFonts w:hint="eastAsia"/>
          <w:b/>
          <w:bCs/>
          <w:sz w:val="24"/>
          <w:szCs w:val="24"/>
        </w:rPr>
        <w:t>附件1：合同货物清单及分项报价表</w:t>
      </w:r>
    </w:p>
    <w:p>
      <w:pPr>
        <w:pStyle w:val="56"/>
        <w:rPr>
          <w:rFonts w:hint="eastAsia"/>
        </w:rPr>
      </w:pPr>
    </w:p>
    <w:p>
      <w:pPr>
        <w:pStyle w:val="278"/>
        <w:ind w:left="0" w:leftChars="0" w:firstLine="0" w:firstLineChars="0"/>
        <w:rPr>
          <w:rFonts w:hint="default" w:eastAsia="宋体"/>
          <w:sz w:val="24"/>
          <w:szCs w:val="24"/>
          <w:u w:val="single"/>
          <w:lang w:val="en-US" w:eastAsia="zh-CN"/>
        </w:rPr>
      </w:pPr>
      <w:r>
        <w:rPr>
          <w:rFonts w:hint="eastAsia"/>
          <w:sz w:val="24"/>
          <w:szCs w:val="24"/>
          <w:lang w:val="en-US" w:eastAsia="zh-CN"/>
        </w:rPr>
        <w:t>供应商名称：</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shd w:val="clear" w:color="auto" w:fill="FFFFFF"/>
        </w:rPr>
        <w:t xml:space="preserve"> </w:t>
      </w:r>
      <w:r>
        <w:rPr>
          <w:rFonts w:hint="eastAsia"/>
          <w:sz w:val="24"/>
          <w:szCs w:val="24"/>
          <w:u w:val="single"/>
          <w:lang w:val="en-US" w:eastAsia="zh-CN"/>
        </w:rPr>
        <w:t xml:space="preserve"> </w:t>
      </w:r>
      <w:r>
        <w:rPr>
          <w:rFonts w:hint="eastAsia"/>
          <w:sz w:val="24"/>
          <w:szCs w:val="24"/>
          <w:lang w:val="en-US" w:eastAsia="zh-CN"/>
        </w:rPr>
        <w:t xml:space="preserve">      </w:t>
      </w:r>
      <w:r>
        <w:rPr>
          <w:rFonts w:hint="eastAsia"/>
          <w:sz w:val="24"/>
          <w:szCs w:val="24"/>
        </w:rPr>
        <w:t>项目编号</w:t>
      </w:r>
      <w:r>
        <w:rPr>
          <w:sz w:val="24"/>
          <w:szCs w:val="24"/>
        </w:rPr>
        <w:t>：</w:t>
      </w:r>
      <w:r>
        <w:rPr>
          <w:rFonts w:hint="eastAsia" w:ascii="宋体" w:hAnsi="宋体" w:eastAsia="宋体" w:cs="宋体"/>
          <w:b/>
          <w:sz w:val="24"/>
          <w:szCs w:val="24"/>
          <w:u w:val="single"/>
          <w:lang w:val="en-US" w:eastAsia="zh-CN"/>
        </w:rPr>
        <w:t xml:space="preserve">                  </w:t>
      </w:r>
      <w:r>
        <w:rPr>
          <w:rFonts w:hint="eastAsia" w:ascii="宋体" w:hAnsi="宋体" w:cs="宋体"/>
          <w:color w:val="000000"/>
          <w:sz w:val="24"/>
          <w:szCs w:val="24"/>
          <w:u w:val="none"/>
          <w:lang w:val="en-US" w:eastAsia="zh-CN"/>
        </w:rPr>
        <w:t xml:space="preserve">      </w:t>
      </w:r>
      <w:r>
        <w:rPr>
          <w:sz w:val="24"/>
          <w:szCs w:val="24"/>
        </w:rPr>
        <w:t>包号</w:t>
      </w:r>
      <w:r>
        <w:rPr>
          <w:rFonts w:hint="eastAsia"/>
          <w:sz w:val="24"/>
          <w:szCs w:val="24"/>
          <w:lang w:eastAsia="zh-CN"/>
        </w:rPr>
        <w:t>：</w:t>
      </w:r>
      <w:r>
        <w:rPr>
          <w:rFonts w:hint="eastAsia" w:ascii="宋体" w:hAnsi="宋体" w:eastAsia="宋体" w:cs="宋体"/>
          <w:b/>
          <w:sz w:val="24"/>
          <w:szCs w:val="24"/>
          <w:u w:val="single"/>
          <w:lang w:val="en-US" w:eastAsia="zh-CN"/>
        </w:rPr>
        <w:t xml:space="preserve">         </w:t>
      </w:r>
    </w:p>
    <w:p>
      <w:pPr>
        <w:pStyle w:val="278"/>
        <w:ind w:firstLine="11130" w:firstLineChars="5300"/>
      </w:pPr>
      <w:r>
        <w:rPr>
          <w:rFonts w:hint="eastAsia"/>
        </w:rPr>
        <w:t xml:space="preserve">     </w:t>
      </w:r>
      <w:r>
        <w:rPr>
          <w:rFonts w:hint="eastAsia"/>
          <w:lang w:val="en-US" w:eastAsia="zh-CN"/>
        </w:rPr>
        <w:t xml:space="preserve">  </w:t>
      </w:r>
      <w:r>
        <w:t xml:space="preserve"> </w:t>
      </w:r>
      <w:r>
        <w:rPr>
          <w:rFonts w:hint="eastAsia"/>
          <w:lang w:val="en-US" w:eastAsia="zh-CN"/>
        </w:rPr>
        <w:t>金额</w:t>
      </w:r>
      <w:r>
        <w:t>单位：人民币元</w:t>
      </w:r>
    </w:p>
    <w:tbl>
      <w:tblPr>
        <w:tblStyle w:val="4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4"/>
        <w:gridCol w:w="1212"/>
        <w:gridCol w:w="1196"/>
        <w:gridCol w:w="896"/>
        <w:gridCol w:w="6779"/>
        <w:gridCol w:w="1064"/>
        <w:gridCol w:w="731"/>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分项名称</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制造商/生产厂家</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产地</w:t>
            </w: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品牌、规格、型号</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单价（元）</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bl>
    <w:p>
      <w:pPr>
        <w:pStyle w:val="278"/>
        <w:jc w:val="left"/>
        <w:rPr>
          <w:rFonts w:hint="eastAsia"/>
        </w:rPr>
      </w:pPr>
    </w:p>
    <w:p>
      <w:pPr>
        <w:spacing w:line="260" w:lineRule="exact"/>
        <w:jc w:val="center"/>
        <w:rPr>
          <w:rFonts w:ascii="宋体" w:hAnsi="宋体" w:cs="宋体"/>
          <w:color w:val="000000"/>
          <w:sz w:val="36"/>
          <w:szCs w:val="36"/>
        </w:rPr>
      </w:pPr>
    </w:p>
    <w:p>
      <w:pPr>
        <w:autoSpaceDE w:val="0"/>
        <w:autoSpaceDN w:val="0"/>
        <w:adjustRightInd w:val="0"/>
        <w:snapToGrid w:val="0"/>
        <w:spacing w:before="25" w:after="25" w:line="360" w:lineRule="auto"/>
        <w:rPr>
          <w:rFonts w:ascii="宋体" w:hAnsi="宋体" w:cs="宋体"/>
          <w:color w:val="000000"/>
          <w:sz w:val="24"/>
        </w:rPr>
      </w:pPr>
    </w:p>
    <w:p>
      <w:pPr>
        <w:pStyle w:val="278"/>
        <w:ind w:firstLine="420"/>
        <w:rPr>
          <w:rFonts w:hint="eastAsia"/>
        </w:rPr>
      </w:pPr>
    </w:p>
    <w:p>
      <w:pPr>
        <w:pStyle w:val="278"/>
        <w:ind w:firstLine="420"/>
        <w:rPr>
          <w:rFonts w:hint="eastAsia"/>
        </w:rPr>
      </w:pPr>
    </w:p>
    <w:p>
      <w:pPr>
        <w:pStyle w:val="278"/>
        <w:ind w:firstLine="420"/>
        <w:rPr>
          <w:rFonts w:hint="eastAsia"/>
        </w:rPr>
      </w:pPr>
    </w:p>
    <w:p>
      <w:pPr>
        <w:pStyle w:val="23"/>
        <w:tabs>
          <w:tab w:val="left" w:pos="5580"/>
        </w:tabs>
        <w:spacing w:before="240" w:line="500" w:lineRule="exact"/>
        <w:ind w:firstLine="573"/>
        <w:rPr>
          <w:rFonts w:ascii="宋体" w:hAnsi="宋体" w:eastAsia="宋体"/>
          <w:b/>
          <w:bCs/>
          <w:sz w:val="30"/>
          <w:szCs w:val="30"/>
          <w:lang w:eastAsia="zh-CN"/>
        </w:rPr>
        <w:sectPr>
          <w:headerReference r:id="rId13" w:type="default"/>
          <w:pgSz w:w="16838" w:h="11906" w:orient="landscape"/>
          <w:pgMar w:top="1800" w:right="1440" w:bottom="1558" w:left="1440" w:header="851" w:footer="992" w:gutter="0"/>
          <w:pgNumType w:fmt="decimal"/>
          <w:cols w:space="720" w:num="1"/>
          <w:docGrid w:type="lines" w:linePitch="312" w:charSpace="0"/>
        </w:sectPr>
      </w:pPr>
    </w:p>
    <w:p>
      <w:pPr>
        <w:pStyle w:val="23"/>
        <w:tabs>
          <w:tab w:val="left" w:pos="5580"/>
        </w:tabs>
        <w:spacing w:before="240" w:line="500" w:lineRule="exact"/>
        <w:ind w:firstLine="573"/>
        <w:rPr>
          <w:rFonts w:hint="eastAsia" w:ascii="宋体" w:hAnsi="宋体" w:eastAsia="宋体"/>
          <w:b/>
          <w:bCs/>
          <w:sz w:val="30"/>
          <w:szCs w:val="30"/>
          <w:lang w:eastAsia="zh-CN"/>
        </w:rPr>
      </w:pPr>
      <w:r>
        <w:rPr>
          <w:rFonts w:hint="eastAsia" w:ascii="宋体" w:hAnsi="宋体" w:eastAsia="宋体"/>
          <w:b/>
          <w:bCs/>
          <w:sz w:val="30"/>
          <w:szCs w:val="30"/>
          <w:lang w:eastAsia="zh-CN"/>
        </w:rPr>
        <w:t>附件2：卖方项目实施安全管理承诺书（本合同的组成部分）</w:t>
      </w:r>
    </w:p>
    <w:p>
      <w:pPr>
        <w:pStyle w:val="23"/>
        <w:tabs>
          <w:tab w:val="left" w:pos="5580"/>
        </w:tabs>
        <w:spacing w:before="240" w:line="500" w:lineRule="exact"/>
        <w:ind w:firstLine="573"/>
        <w:rPr>
          <w:rFonts w:hint="eastAsia" w:ascii="宋体" w:hAnsi="宋体" w:eastAsia="宋体"/>
          <w:b/>
          <w:bCs/>
          <w:sz w:val="30"/>
          <w:szCs w:val="30"/>
          <w:lang w:eastAsia="zh-CN"/>
        </w:rPr>
      </w:pPr>
    </w:p>
    <w:p>
      <w:pPr>
        <w:spacing w:line="360" w:lineRule="auto"/>
        <w:ind w:firstLine="480" w:firstLineChars="200"/>
        <w:rPr>
          <w:rFonts w:hint="eastAsia" w:ascii="宋体" w:hAnsi="宋体" w:eastAsia="宋体"/>
          <w:bCs/>
          <w:lang w:eastAsia="zh-CN"/>
        </w:rPr>
      </w:pPr>
      <w:r>
        <w:rPr>
          <w:rFonts w:hint="eastAsia" w:ascii="宋体" w:hAnsi="宋体" w:eastAsia="宋体" w:cs="Times New Roman"/>
          <w:bCs/>
          <w:kern w:val="2"/>
          <w:sz w:val="24"/>
          <w:szCs w:val="24"/>
          <w:lang w:val="en-US" w:eastAsia="zh-CN" w:bidi="ar-SA"/>
        </w:rPr>
        <w:t>在实施</w:t>
      </w:r>
      <w:r>
        <w:rPr>
          <w:rFonts w:hint="eastAsia" w:ascii="宋体" w:hAnsi="宋体" w:eastAsia="宋体" w:cs="Times New Roman"/>
          <w:bCs/>
          <w:kern w:val="2"/>
          <w:sz w:val="24"/>
          <w:szCs w:val="24"/>
          <w:u w:val="single"/>
          <w:lang w:val="en-US" w:eastAsia="zh-CN" w:bidi="ar-SA"/>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eastAsia="宋体" w:cs="宋体"/>
          <w:b/>
          <w:bCs/>
          <w:sz w:val="24"/>
          <w:highlight w:val="none"/>
          <w:u w:val="single"/>
          <w:lang w:eastAsia="zh-CN"/>
        </w:rPr>
        <w:t>项目</w:t>
      </w:r>
      <w:r>
        <w:rPr>
          <w:rFonts w:hint="eastAsia" w:ascii="宋体" w:hAnsi="宋体" w:eastAsia="宋体" w:cs="Times New Roman"/>
          <w:bCs/>
          <w:kern w:val="2"/>
          <w:sz w:val="24"/>
          <w:szCs w:val="24"/>
          <w:u w:val="single"/>
          <w:lang w:val="en-US" w:eastAsia="zh-CN" w:bidi="ar-SA"/>
        </w:rPr>
        <w:t xml:space="preserve"> </w:t>
      </w:r>
      <w:r>
        <w:rPr>
          <w:rFonts w:hint="eastAsia" w:ascii="MingLiU" w:hAnsi="Courier New" w:eastAsia="宋体" w:cs="Times New Roman"/>
          <w:b/>
          <w:bCs w:val="0"/>
          <w:kern w:val="2"/>
          <w:sz w:val="24"/>
          <w:szCs w:val="24"/>
          <w:highlight w:val="none"/>
          <w:u w:val="single"/>
          <w:lang w:val="en-US" w:eastAsia="zh-CN" w:bidi="ar-SA"/>
        </w:rPr>
        <w:t>（招标编号：</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bCs/>
          <w:u w:val="single"/>
          <w:lang w:eastAsia="zh-CN"/>
        </w:rPr>
        <w:t>（合同号：</w:t>
      </w:r>
      <w:r>
        <w:rPr>
          <w:rFonts w:hint="eastAsia" w:ascii="宋体" w:hAnsi="宋体" w:eastAsia="宋体"/>
          <w:bCs/>
          <w:u w:val="single"/>
          <w:lang w:val="en-US" w:eastAsia="zh-CN"/>
        </w:rPr>
        <w:t xml:space="preserve">        </w:t>
      </w:r>
      <w:r>
        <w:rPr>
          <w:rFonts w:hint="eastAsia" w:ascii="宋体" w:hAnsi="宋体" w:eastAsia="宋体"/>
          <w:bCs/>
          <w:u w:val="single"/>
          <w:lang w:eastAsia="zh-CN"/>
        </w:rPr>
        <w:t>）</w:t>
      </w:r>
      <w:r>
        <w:rPr>
          <w:rFonts w:hint="eastAsia" w:ascii="MingLiU" w:hAnsi="Courier New" w:eastAsia="宋体" w:cs="Times New Roman"/>
          <w:b/>
          <w:bCs w:val="0"/>
          <w:kern w:val="2"/>
          <w:sz w:val="24"/>
          <w:szCs w:val="24"/>
          <w:highlight w:val="none"/>
          <w:u w:val="single"/>
          <w:lang w:val="en-US" w:eastAsia="zh-CN" w:bidi="ar-SA"/>
        </w:rPr>
        <w:t>）</w:t>
      </w:r>
      <w:r>
        <w:rPr>
          <w:rFonts w:hint="eastAsia" w:ascii="MingLiU" w:hAnsi="Courier New" w:eastAsia="宋体" w:cs="Times New Roman"/>
          <w:kern w:val="2"/>
          <w:sz w:val="24"/>
          <w:szCs w:val="24"/>
          <w:lang w:val="en-US" w:eastAsia="zh-CN" w:bidi="ar-SA"/>
        </w:rPr>
        <w:t>过程中，我方郑重承</w:t>
      </w:r>
      <w:r>
        <w:rPr>
          <w:rFonts w:hint="eastAsia" w:ascii="宋体" w:hAnsi="宋体" w:eastAsia="宋体"/>
          <w:bCs/>
          <w:lang w:eastAsia="zh-CN"/>
        </w:rPr>
        <w:t>诺：</w:t>
      </w:r>
    </w:p>
    <w:p>
      <w:pPr>
        <w:spacing w:line="360" w:lineRule="auto"/>
        <w:ind w:firstLine="420" w:firstLineChars="200"/>
        <w:rPr>
          <w:rFonts w:hint="eastAsia" w:ascii="MingLiU" w:hAnsi="Courier New" w:eastAsia="宋体" w:cs="Times New Roman"/>
          <w:kern w:val="2"/>
          <w:sz w:val="24"/>
          <w:szCs w:val="24"/>
          <w:lang w:val="en-US" w:eastAsia="zh-CN" w:bidi="ar-SA"/>
        </w:rPr>
      </w:pPr>
      <w:r>
        <w:rPr>
          <w:rFonts w:hint="eastAsia" w:ascii="宋体" w:hAnsi="宋体" w:eastAsia="宋体"/>
          <w:bCs/>
          <w:lang w:eastAsia="zh-CN"/>
        </w:rPr>
        <w:t>一、</w:t>
      </w:r>
      <w:r>
        <w:rPr>
          <w:rFonts w:hint="eastAsia" w:ascii="MingLiU" w:hAnsi="Courier New" w:eastAsia="宋体" w:cs="Times New Roman"/>
          <w:kern w:val="2"/>
          <w:sz w:val="24"/>
          <w:szCs w:val="24"/>
          <w:lang w:val="en-US" w:eastAsia="zh-CN" w:bidi="ar-SA"/>
        </w:rPr>
        <w:t>严格遵守买方（北京市房山区教育委员会）及最终用户（学校、幼儿园等）相关规定及针对此项目提出的要求，加强对我方人员的教育和管理，安全、文明地开展货物运输、施工及设备安装调试等工作，保证不扰乱最终用户的正常教学秩序，不危害师生人身安全和健康，不破坏使用单位的财产和设施。</w:t>
      </w:r>
    </w:p>
    <w:p>
      <w:pPr>
        <w:pStyle w:val="23"/>
        <w:tabs>
          <w:tab w:val="left" w:pos="5580"/>
        </w:tabs>
        <w:spacing w:before="240" w:line="500" w:lineRule="exact"/>
        <w:ind w:firstLine="573"/>
        <w:rPr>
          <w:rFonts w:hint="eastAsia" w:eastAsia="宋体"/>
          <w:lang w:eastAsia="zh-CN"/>
        </w:rPr>
      </w:pPr>
      <w:r>
        <w:rPr>
          <w:rFonts w:hint="eastAsia" w:eastAsia="宋体"/>
          <w:lang w:eastAsia="zh-CN"/>
        </w:rPr>
        <w:t>二、严格遵守国家安全生产相关规定，杜绝违规操作行为，杜绝安全责任事故发生，确保此项目安全实施。</w:t>
      </w:r>
    </w:p>
    <w:p>
      <w:pPr>
        <w:pStyle w:val="23"/>
        <w:tabs>
          <w:tab w:val="left" w:pos="5580"/>
        </w:tabs>
        <w:spacing w:before="240" w:line="360" w:lineRule="auto"/>
        <w:ind w:firstLine="573"/>
        <w:rPr>
          <w:rFonts w:hint="eastAsia" w:eastAsia="宋体"/>
          <w:lang w:eastAsia="zh-CN"/>
        </w:rPr>
      </w:pPr>
      <w:r>
        <w:rPr>
          <w:rFonts w:hint="eastAsia" w:eastAsia="宋体"/>
          <w:lang w:eastAsia="zh-CN"/>
        </w:rPr>
        <w:t>三、在货物运输、施工及设备安装调试、维修等工作中，发生的安全事故、侵权责任等，全部由我方承担损失、责任等，与买方（北京市房山区教育委员会）及最终用户（学校、幼儿园等）无关。</w:t>
      </w:r>
    </w:p>
    <w:p>
      <w:pPr>
        <w:pStyle w:val="23"/>
        <w:tabs>
          <w:tab w:val="left" w:pos="5580"/>
        </w:tabs>
        <w:spacing w:before="240" w:line="360" w:lineRule="auto"/>
        <w:ind w:firstLine="570"/>
        <w:rPr>
          <w:rFonts w:hint="eastAsia" w:eastAsia="宋体"/>
          <w:lang w:eastAsia="zh-CN"/>
        </w:rPr>
      </w:pPr>
      <w:r>
        <w:rPr>
          <w:rFonts w:hint="eastAsia" w:eastAsia="宋体"/>
          <w:lang w:eastAsia="zh-CN"/>
        </w:rPr>
        <w:t>因违反上述要求、规定所造成的一切不良后果，全部责任皆由我方承担！</w:t>
      </w:r>
    </w:p>
    <w:p>
      <w:pPr>
        <w:pStyle w:val="23"/>
        <w:tabs>
          <w:tab w:val="left" w:pos="5580"/>
        </w:tabs>
        <w:spacing w:before="240" w:line="360" w:lineRule="auto"/>
        <w:ind w:firstLine="570"/>
        <w:rPr>
          <w:rFonts w:hint="eastAsia" w:eastAsia="宋体"/>
          <w:lang w:eastAsia="zh-CN"/>
        </w:rPr>
      </w:pPr>
      <w:r>
        <w:rPr>
          <w:rFonts w:hint="eastAsia" w:eastAsia="宋体"/>
          <w:lang w:eastAsia="zh-CN"/>
        </w:rPr>
        <w:t>特此承诺！</w:t>
      </w:r>
    </w:p>
    <w:p>
      <w:pPr>
        <w:rPr>
          <w:rFonts w:hint="eastAsia"/>
        </w:rPr>
      </w:pPr>
    </w:p>
    <w:p>
      <w:pPr>
        <w:pStyle w:val="23"/>
        <w:tabs>
          <w:tab w:val="left" w:pos="5580"/>
        </w:tabs>
        <w:spacing w:before="240"/>
        <w:ind w:firstLine="570"/>
        <w:rPr>
          <w:rFonts w:eastAsia="宋体"/>
          <w:b/>
          <w:bCs/>
          <w:u w:val="single"/>
          <w:lang w:eastAsia="zh-CN"/>
        </w:rPr>
      </w:pPr>
      <w:r>
        <w:rPr>
          <w:rFonts w:hint="eastAsia" w:eastAsia="宋体"/>
          <w:b/>
          <w:bCs/>
          <w:lang w:eastAsia="zh-CN"/>
        </w:rPr>
        <w:t>承诺方（盖章）：</w:t>
      </w:r>
      <w:r>
        <w:rPr>
          <w:rFonts w:hint="eastAsia" w:eastAsia="宋体"/>
          <w:b/>
          <w:bCs/>
          <w:u w:val="single"/>
          <w:lang w:eastAsia="zh-CN"/>
        </w:rPr>
        <w:t xml:space="preserve"> </w:t>
      </w:r>
      <w:r>
        <w:rPr>
          <w:rFonts w:hint="eastAsia" w:ascii="宋体" w:hAnsi="宋体" w:eastAsia="宋体" w:cs="宋体"/>
          <w:b/>
          <w:sz w:val="24"/>
          <w:u w:val="single"/>
          <w:lang w:val="en-US" w:eastAsia="zh-CN"/>
        </w:rPr>
        <w:t xml:space="preserve">                   </w:t>
      </w:r>
      <w:r>
        <w:rPr>
          <w:rFonts w:hint="eastAsia" w:eastAsia="宋体"/>
          <w:b/>
          <w:bCs/>
          <w:u w:val="single"/>
          <w:lang w:eastAsia="zh-CN"/>
        </w:rPr>
        <w:t xml:space="preserve"> </w:t>
      </w:r>
    </w:p>
    <w:p>
      <w:pPr>
        <w:pStyle w:val="23"/>
        <w:tabs>
          <w:tab w:val="left" w:pos="5580"/>
        </w:tabs>
        <w:spacing w:before="240"/>
        <w:ind w:firstLine="570"/>
        <w:rPr>
          <w:rFonts w:hint="eastAsia" w:ascii="宋体" w:hAnsi="宋体" w:eastAsia="宋体"/>
          <w:b/>
          <w:bCs/>
          <w:u w:val="single"/>
          <w:lang w:eastAsia="zh-CN"/>
        </w:rPr>
      </w:pPr>
      <w:r>
        <w:rPr>
          <w:rFonts w:hint="eastAsia" w:eastAsia="宋体"/>
          <w:b/>
          <w:bCs/>
          <w:lang w:eastAsia="zh-CN"/>
        </w:rPr>
        <w:t>承诺方负责人</w:t>
      </w:r>
      <w:r>
        <w:rPr>
          <w:rFonts w:hint="eastAsia" w:ascii="宋体" w:hAnsi="宋体"/>
          <w:b/>
          <w:bCs/>
        </w:rPr>
        <w:t>（</w:t>
      </w:r>
      <w:r>
        <w:rPr>
          <w:rFonts w:hint="eastAsia" w:ascii="宋体" w:hAnsi="宋体" w:eastAsia="宋体"/>
          <w:b/>
          <w:bCs/>
          <w:lang w:eastAsia="zh-CN"/>
        </w:rPr>
        <w:t>项目</w:t>
      </w:r>
      <w:r>
        <w:rPr>
          <w:rFonts w:hint="eastAsia" w:ascii="宋体" w:hAnsi="宋体"/>
          <w:b/>
          <w:bCs/>
        </w:rPr>
        <w:t>授权代表）</w:t>
      </w:r>
      <w:r>
        <w:rPr>
          <w:rFonts w:hint="eastAsia" w:ascii="宋体" w:hAnsi="宋体" w:eastAsia="宋体"/>
          <w:b/>
          <w:bCs/>
          <w:lang w:eastAsia="zh-CN"/>
        </w:rPr>
        <w:t>签字：</w:t>
      </w:r>
      <w:r>
        <w:rPr>
          <w:rFonts w:hint="eastAsia" w:ascii="宋体" w:hAnsi="宋体" w:eastAsia="宋体"/>
          <w:b/>
          <w:bCs/>
          <w:u w:val="single"/>
          <w:lang w:eastAsia="zh-CN"/>
        </w:rPr>
        <w:t xml:space="preserve">              </w:t>
      </w:r>
    </w:p>
    <w:p>
      <w:pPr>
        <w:pStyle w:val="23"/>
        <w:tabs>
          <w:tab w:val="left" w:pos="5580"/>
        </w:tabs>
        <w:spacing w:before="240"/>
        <w:ind w:firstLine="570"/>
        <w:rPr>
          <w:rFonts w:hint="eastAsia" w:ascii="宋体" w:hAnsi="宋体" w:eastAsia="宋体"/>
          <w:b/>
          <w:bCs/>
          <w:u w:val="single"/>
          <w:lang w:eastAsia="zh-CN"/>
        </w:rPr>
      </w:pPr>
      <w:r>
        <w:rPr>
          <w:rFonts w:hint="eastAsia" w:ascii="宋体" w:hAnsi="宋体" w:eastAsia="宋体"/>
          <w:b/>
          <w:bCs/>
          <w:lang w:eastAsia="zh-CN"/>
        </w:rPr>
        <w:t>签署日期：</w:t>
      </w:r>
      <w:r>
        <w:rPr>
          <w:rFonts w:hint="eastAsia" w:ascii="宋体" w:hAnsi="宋体" w:eastAsia="宋体"/>
          <w:b/>
          <w:bCs/>
          <w:u w:val="single"/>
          <w:lang w:eastAsia="zh-CN"/>
        </w:rPr>
        <w:t xml:space="preserve">       </w:t>
      </w:r>
      <w:r>
        <w:rPr>
          <w:rFonts w:hint="eastAsia" w:ascii="宋体" w:hAnsi="宋体" w:eastAsia="宋体"/>
          <w:b/>
          <w:bCs/>
          <w:u w:val="single"/>
          <w:lang w:val="en-US" w:eastAsia="zh-CN"/>
        </w:rPr>
        <w:t xml:space="preserve"> </w:t>
      </w:r>
      <w:r>
        <w:rPr>
          <w:rFonts w:hint="eastAsia" w:ascii="宋体" w:hAnsi="宋体" w:eastAsia="宋体"/>
          <w:b/>
          <w:bCs/>
          <w:u w:val="single"/>
          <w:lang w:eastAsia="zh-CN"/>
        </w:rPr>
        <w:t xml:space="preserve"> 年      月      日</w:t>
      </w:r>
    </w:p>
    <w:p>
      <w:pPr>
        <w:pStyle w:val="23"/>
        <w:tabs>
          <w:tab w:val="left" w:pos="5580"/>
        </w:tabs>
        <w:spacing w:before="240"/>
        <w:ind w:firstLine="570"/>
        <w:rPr>
          <w:rFonts w:hint="eastAsia" w:ascii="宋体" w:hAnsi="宋体" w:eastAsia="宋体"/>
          <w:u w:val="single"/>
          <w:lang w:eastAsia="zh-CN"/>
        </w:rPr>
      </w:pPr>
    </w:p>
    <w:p>
      <w:pPr>
        <w:pStyle w:val="23"/>
        <w:tabs>
          <w:tab w:val="left" w:pos="5580"/>
        </w:tabs>
        <w:spacing w:before="240"/>
        <w:ind w:firstLine="570"/>
        <w:rPr>
          <w:rFonts w:hint="eastAsia" w:ascii="宋体" w:hAnsi="宋体" w:eastAsia="宋体"/>
          <w:u w:val="single"/>
          <w:lang w:eastAsia="zh-CN"/>
        </w:rPr>
      </w:pPr>
    </w:p>
    <w:p>
      <w:pPr>
        <w:pStyle w:val="23"/>
        <w:tabs>
          <w:tab w:val="left" w:pos="5580"/>
        </w:tabs>
        <w:spacing w:before="240"/>
        <w:ind w:firstLine="570"/>
        <w:rPr>
          <w:rFonts w:hint="eastAsia" w:ascii="宋体" w:hAnsi="宋体" w:eastAsia="宋体"/>
          <w:u w:val="single"/>
          <w:lang w:eastAsia="zh-CN"/>
        </w:rPr>
      </w:pPr>
    </w:p>
    <w:p>
      <w:pPr>
        <w:keepNext/>
        <w:keepLines/>
        <w:pageBreakBefore w:val="0"/>
        <w:widowControl w:val="0"/>
        <w:kinsoku/>
        <w:wordWrap/>
        <w:overflowPunct/>
        <w:topLinePunct w:val="0"/>
        <w:autoSpaceDE w:val="0"/>
        <w:autoSpaceDN w:val="0"/>
        <w:bidi w:val="0"/>
        <w:adjustRightInd w:val="0"/>
        <w:snapToGrid/>
        <w:textAlignment w:val="auto"/>
        <w:outlineLvl w:val="9"/>
        <w:rPr>
          <w:rFonts w:hint="eastAsia"/>
          <w:b/>
          <w:bCs/>
          <w:sz w:val="24"/>
          <w:szCs w:val="24"/>
        </w:rPr>
      </w:pPr>
      <w:r>
        <w:rPr>
          <w:rFonts w:hint="eastAsia" w:ascii="宋体" w:hAnsi="宋体"/>
          <w:u w:val="single"/>
        </w:rPr>
        <w:br w:type="page"/>
      </w:r>
      <w:r>
        <w:rPr>
          <w:rFonts w:hint="eastAsia"/>
          <w:b/>
          <w:bCs/>
          <w:sz w:val="24"/>
          <w:szCs w:val="24"/>
        </w:rPr>
        <w:t>附件3：卖方质量保证与售后服务承诺书</w:t>
      </w:r>
    </w:p>
    <w:p>
      <w:pPr>
        <w:pStyle w:val="56"/>
        <w:rPr>
          <w:rFonts w:hint="eastAsia"/>
        </w:rPr>
      </w:pPr>
    </w:p>
    <w:p>
      <w:pPr>
        <w:spacing w:before="240" w:after="240" w:line="360" w:lineRule="auto"/>
        <w:jc w:val="center"/>
        <w:rPr>
          <w:rFonts w:hint="eastAsia" w:ascii="宋体" w:hAnsi="宋体"/>
          <w:b/>
          <w:sz w:val="24"/>
        </w:rPr>
      </w:pPr>
      <w:r>
        <w:rPr>
          <w:rFonts w:hint="eastAsia" w:ascii="宋体" w:hAnsi="宋体"/>
          <w:b/>
          <w:sz w:val="24"/>
        </w:rPr>
        <w:t>针对本项目的质量承诺及原厂售后服务承诺函</w:t>
      </w:r>
    </w:p>
    <w:p>
      <w:pPr>
        <w:spacing w:before="240" w:line="360" w:lineRule="auto"/>
        <w:rPr>
          <w:rFonts w:hint="eastAsia" w:ascii="宋体" w:hAnsi="宋体" w:eastAsia="宋体" w:cs="Times New Roman"/>
          <w:bCs/>
          <w:kern w:val="2"/>
          <w:sz w:val="24"/>
          <w:szCs w:val="24"/>
          <w:u w:val="single"/>
          <w:lang w:val="en-US" w:eastAsia="zh-CN" w:bidi="ar-SA"/>
        </w:rPr>
      </w:pPr>
      <w:r>
        <w:rPr>
          <w:rFonts w:hint="eastAsia" w:ascii="宋体" w:hAnsi="宋体" w:cs="宋体"/>
          <w:b/>
          <w:sz w:val="24"/>
        </w:rPr>
        <w:t>项目编号：</w:t>
      </w:r>
      <w:r>
        <w:rPr>
          <w:rFonts w:hint="eastAsia" w:ascii="宋体" w:hAnsi="宋体" w:cs="宋体"/>
          <w:b/>
          <w:sz w:val="24"/>
          <w:u w:val="single"/>
          <w:lang w:val="en-US" w:eastAsia="zh-CN"/>
        </w:rPr>
        <w:t xml:space="preserve">                            </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cs="宋体"/>
          <w:b/>
          <w:sz w:val="24"/>
          <w:u w:val="single"/>
          <w:lang w:val="en-US" w:eastAsia="zh-CN"/>
        </w:rPr>
        <w:t xml:space="preserve">  </w:t>
      </w:r>
      <w:r>
        <w:rPr>
          <w:rFonts w:hint="eastAsia" w:ascii="宋体" w:hAnsi="宋体" w:eastAsia="宋体" w:cs="Times New Roman"/>
          <w:bCs/>
          <w:kern w:val="2"/>
          <w:sz w:val="24"/>
          <w:szCs w:val="24"/>
          <w:u w:val="single"/>
          <w:lang w:val="en-US" w:eastAsia="zh-CN" w:bidi="ar-SA"/>
        </w:rPr>
        <w:t xml:space="preserve">  </w:t>
      </w:r>
    </w:p>
    <w:p>
      <w:pPr>
        <w:spacing w:before="240" w:line="360" w:lineRule="auto"/>
        <w:rPr>
          <w:rFonts w:hint="default" w:ascii="宋体" w:hAnsi="宋体" w:eastAsia="宋体" w:cs="Times New Roman"/>
          <w:bCs/>
          <w:kern w:val="2"/>
          <w:sz w:val="24"/>
          <w:szCs w:val="24"/>
          <w:u w:val="single"/>
          <w:lang w:val="en-US" w:eastAsia="zh-CN" w:bidi="ar-SA"/>
        </w:rPr>
      </w:pPr>
      <w:r>
        <w:rPr>
          <w:rFonts w:hint="eastAsia" w:ascii="宋体" w:hAnsi="宋体" w:cs="宋体"/>
          <w:b/>
          <w:sz w:val="24"/>
        </w:rPr>
        <w:t>项目名称：</w:t>
      </w:r>
      <w:r>
        <w:rPr>
          <w:rFonts w:hint="eastAsia" w:ascii="宋体" w:hAnsi="宋体" w:cs="宋体"/>
          <w:b/>
          <w:sz w:val="24"/>
          <w:u w:val="single"/>
          <w:lang w:val="en-US" w:eastAsia="zh-CN"/>
        </w:rPr>
        <w:t xml:space="preserve">                                   </w:t>
      </w:r>
    </w:p>
    <w:p>
      <w:pPr>
        <w:spacing w:before="240" w:line="500" w:lineRule="exact"/>
        <w:ind w:firstLine="720" w:firstLineChars="300"/>
        <w:rPr>
          <w:rFonts w:ascii="宋体" w:hAnsi="宋体" w:cs="宋体"/>
          <w:sz w:val="24"/>
        </w:rPr>
      </w:pPr>
      <w:r>
        <w:rPr>
          <w:rFonts w:hint="eastAsia" w:ascii="宋体" w:hAnsi="宋体" w:cs="宋体"/>
          <w:sz w:val="24"/>
        </w:rPr>
        <w:t>我公司针对</w:t>
      </w:r>
      <w:r>
        <w:rPr>
          <w:rFonts w:hint="eastAsia" w:ascii="宋体" w:hAnsi="宋体" w:cs="宋体"/>
          <w:b/>
          <w:sz w:val="24"/>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eastAsia="宋体" w:cs="宋体"/>
          <w:b/>
          <w:bCs/>
          <w:sz w:val="24"/>
          <w:highlight w:val="none"/>
          <w:u w:val="single"/>
          <w:lang w:eastAsia="zh-CN"/>
        </w:rPr>
        <w:t>项目</w:t>
      </w:r>
      <w:r>
        <w:rPr>
          <w:rFonts w:hint="eastAsia" w:ascii="宋体" w:hAnsi="宋体" w:cs="宋体"/>
          <w:b/>
          <w:sz w:val="24"/>
          <w:u w:val="single"/>
          <w:lang w:val="en-US" w:eastAsia="zh-CN"/>
        </w:rPr>
        <w:t xml:space="preserve"> </w:t>
      </w:r>
      <w:r>
        <w:rPr>
          <w:rFonts w:hint="eastAsia" w:ascii="宋体" w:hAnsi="宋体" w:cs="宋体"/>
          <w:sz w:val="24"/>
        </w:rPr>
        <w:t>做出如下承诺 ：</w:t>
      </w:r>
    </w:p>
    <w:p>
      <w:pPr>
        <w:spacing w:line="500" w:lineRule="exact"/>
        <w:rPr>
          <w:rFonts w:hint="eastAsia" w:ascii="宋体" w:hAnsi="宋体"/>
          <w:b/>
          <w:bCs w:val="0"/>
          <w:sz w:val="24"/>
        </w:rPr>
      </w:pPr>
      <w:r>
        <w:rPr>
          <w:rFonts w:hint="eastAsia" w:ascii="宋体" w:hAnsi="宋体"/>
          <w:b/>
          <w:bCs w:val="0"/>
          <w:sz w:val="24"/>
        </w:rPr>
        <w:t>一、产品质量保证：</w:t>
      </w:r>
    </w:p>
    <w:p>
      <w:pPr>
        <w:pStyle w:val="278"/>
        <w:spacing w:line="500" w:lineRule="exact"/>
        <w:ind w:firstLine="480"/>
        <w:rPr>
          <w:rFonts w:hint="eastAsia" w:ascii="宋体" w:hAnsi="宋体"/>
          <w:bCs/>
          <w:sz w:val="24"/>
        </w:rPr>
      </w:pPr>
      <w:r>
        <w:rPr>
          <w:rFonts w:hint="eastAsia" w:ascii="宋体" w:hAnsi="宋体"/>
          <w:bCs/>
          <w:sz w:val="24"/>
        </w:rPr>
        <w:t>1、质量保证：作为设备供应商我们公司对本次投标所提供的产品均为厂家原厂原包装，符合同家质量认证和质量认证体系，并提供产品技术资料（包含安装说明书，产品装箱目录、产品口中文使用说明书、合格证及保修凭证等）。</w:t>
      </w:r>
    </w:p>
    <w:p>
      <w:pPr>
        <w:pStyle w:val="278"/>
        <w:spacing w:line="500" w:lineRule="exact"/>
        <w:ind w:firstLine="480"/>
        <w:rPr>
          <w:rFonts w:hint="eastAsia" w:ascii="宋体" w:hAnsi="宋体"/>
          <w:bCs/>
          <w:sz w:val="24"/>
        </w:rPr>
      </w:pPr>
      <w:r>
        <w:rPr>
          <w:rFonts w:hint="eastAsia" w:ascii="宋体" w:hAnsi="宋体"/>
          <w:bCs/>
          <w:sz w:val="24"/>
        </w:rPr>
        <w:t>2、供货安装时间：我司在本次招标采购中若中标，在接到中标通知书后即向用户提供货物。产品的制造和检测均有质量记录和检测资料。对产品性能的检测，我们已对产品进行全过程、全性能检查，待产品被确认合格后才装箱发货。</w:t>
      </w:r>
    </w:p>
    <w:p>
      <w:pPr>
        <w:pStyle w:val="278"/>
        <w:spacing w:line="500" w:lineRule="exact"/>
        <w:ind w:firstLine="480"/>
        <w:rPr>
          <w:rFonts w:hint="eastAsia" w:ascii="宋体" w:hAnsi="宋体"/>
          <w:bCs/>
          <w:sz w:val="24"/>
        </w:rPr>
      </w:pPr>
      <w:r>
        <w:rPr>
          <w:rFonts w:hint="eastAsia" w:ascii="宋体" w:hAnsi="宋体"/>
          <w:bCs/>
          <w:sz w:val="24"/>
        </w:rPr>
        <w:t>3、产品交货期：尽量按用户要求，若有特殊要求，需提前完工的，我公司可特别组织生产、安装，力争满足用户需求。</w:t>
      </w:r>
    </w:p>
    <w:p>
      <w:pPr>
        <w:pStyle w:val="278"/>
        <w:spacing w:line="500" w:lineRule="exact"/>
        <w:ind w:firstLine="480"/>
        <w:rPr>
          <w:rFonts w:hint="eastAsia" w:ascii="宋体" w:hAnsi="宋体"/>
          <w:bCs/>
          <w:sz w:val="24"/>
        </w:rPr>
      </w:pPr>
      <w:r>
        <w:rPr>
          <w:rFonts w:hint="eastAsia" w:ascii="宋体" w:hAnsi="宋体"/>
          <w:bCs/>
          <w:sz w:val="24"/>
        </w:rPr>
        <w:t>4、保修承诺：我司对本次协议供货有效期内所提供的所有产品保质期，有效期内所提供的所有产品，提供正常工作日全天侯服务，终身技术服务支持。</w:t>
      </w:r>
    </w:p>
    <w:p>
      <w:pPr>
        <w:pStyle w:val="278"/>
        <w:spacing w:line="500" w:lineRule="exact"/>
        <w:ind w:firstLine="480"/>
        <w:rPr>
          <w:rFonts w:hint="eastAsia" w:ascii="宋体" w:hAnsi="宋体"/>
          <w:bCs/>
          <w:sz w:val="24"/>
        </w:rPr>
      </w:pPr>
      <w:r>
        <w:rPr>
          <w:rFonts w:hint="eastAsia" w:ascii="宋体" w:hAnsi="宋体"/>
          <w:bCs/>
          <w:sz w:val="24"/>
        </w:rPr>
        <w:t>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pStyle w:val="278"/>
        <w:spacing w:line="500" w:lineRule="exact"/>
        <w:ind w:firstLine="480"/>
        <w:rPr>
          <w:rFonts w:hint="eastAsia" w:ascii="宋体" w:hAnsi="宋体"/>
          <w:bCs/>
          <w:sz w:val="24"/>
        </w:rPr>
      </w:pPr>
      <w:r>
        <w:rPr>
          <w:rFonts w:hint="eastAsia" w:ascii="宋体" w:hAnsi="宋体"/>
          <w:bCs/>
          <w:sz w:val="24"/>
        </w:rPr>
        <w:t>6、服务体系：作为设备供应商本公司对本次招标所提供的产品提供保障体系：当设备出现故障，必要时将派指定的专业技术员在规定时间内上门维修或寄修，费购货方愿意产生的运杂费由本公司承担。</w:t>
      </w:r>
    </w:p>
    <w:p>
      <w:pPr>
        <w:widowControl/>
        <w:spacing w:line="500" w:lineRule="exact"/>
        <w:rPr>
          <w:rFonts w:hint="eastAsia" w:ascii="宋体" w:hAnsi="宋体" w:eastAsia="宋体" w:cs="Times New Roman"/>
          <w:b/>
          <w:bCs w:val="0"/>
          <w:sz w:val="24"/>
        </w:rPr>
      </w:pPr>
      <w:r>
        <w:br w:type="page"/>
      </w:r>
      <w:r>
        <w:rPr>
          <w:rFonts w:hint="eastAsia" w:ascii="宋体" w:hAnsi="宋体" w:eastAsia="宋体" w:cs="Times New Roman"/>
          <w:b/>
          <w:bCs w:val="0"/>
          <w:sz w:val="24"/>
        </w:rPr>
        <w:t>二、售后服务承诺：</w:t>
      </w:r>
    </w:p>
    <w:p>
      <w:pPr>
        <w:pageBreakBefore w:val="0"/>
        <w:widowControl/>
        <w:topLinePunct w:val="0"/>
        <w:bidi w:val="0"/>
        <w:spacing w:line="312" w:lineRule="auto"/>
        <w:jc w:val="left"/>
        <w:rPr>
          <w:rFonts w:hint="eastAsia" w:ascii="宋体" w:hAnsi="宋体" w:eastAsia="宋体" w:cs="宋体"/>
          <w:sz w:val="24"/>
          <w:szCs w:val="24"/>
        </w:rPr>
      </w:pPr>
    </w:p>
    <w:p>
      <w:pPr>
        <w:pStyle w:val="278"/>
        <w:spacing w:line="500" w:lineRule="exact"/>
        <w:ind w:left="0" w:leftChars="0" w:firstLine="0" w:firstLineChars="0"/>
        <w:rPr>
          <w:rFonts w:hint="eastAsia" w:ascii="宋体" w:hAnsi="宋体" w:cs="Arial Unicode MS"/>
          <w:bCs/>
          <w:sz w:val="24"/>
        </w:rPr>
      </w:pPr>
      <w:r>
        <w:rPr>
          <w:rFonts w:hint="eastAsia" w:ascii="宋体" w:hAnsi="宋体" w:cs="Arial Unicode MS"/>
          <w:b/>
          <w:bCs/>
          <w:sz w:val="24"/>
        </w:rPr>
        <w:t xml:space="preserve">  </w:t>
      </w:r>
      <w:r>
        <w:rPr>
          <w:rFonts w:hint="eastAsia" w:ascii="宋体" w:hAnsi="宋体" w:cs="Arial Unicode MS"/>
          <w:bCs/>
          <w:sz w:val="24"/>
        </w:rPr>
        <w:t xml:space="preserve"> </w:t>
      </w:r>
    </w:p>
    <w:p>
      <w:pPr>
        <w:pStyle w:val="278"/>
        <w:spacing w:line="500" w:lineRule="exact"/>
        <w:ind w:firstLine="6000" w:firstLineChars="2500"/>
        <w:rPr>
          <w:rFonts w:hint="eastAsia" w:ascii="宋体" w:hAnsi="宋体" w:cs="Arial Unicode MS"/>
          <w:bCs/>
          <w:sz w:val="24"/>
        </w:rPr>
      </w:pPr>
    </w:p>
    <w:p>
      <w:pPr>
        <w:pStyle w:val="278"/>
        <w:spacing w:line="500" w:lineRule="exact"/>
        <w:ind w:firstLine="6000" w:firstLineChars="2500"/>
        <w:rPr>
          <w:rFonts w:hint="eastAsia" w:ascii="宋体" w:hAnsi="宋体" w:cs="Arial Unicode MS"/>
          <w:bCs/>
          <w:sz w:val="24"/>
        </w:rPr>
      </w:pPr>
    </w:p>
    <w:p>
      <w:pPr>
        <w:pStyle w:val="278"/>
        <w:spacing w:line="500" w:lineRule="exact"/>
        <w:ind w:firstLine="6000" w:firstLineChars="2500"/>
        <w:rPr>
          <w:rFonts w:hint="eastAsia" w:ascii="宋体" w:hAnsi="宋体" w:cs="Arial Unicode MS"/>
          <w:bCs/>
          <w:sz w:val="24"/>
        </w:rPr>
      </w:pPr>
    </w:p>
    <w:p>
      <w:pPr>
        <w:pStyle w:val="278"/>
        <w:spacing w:line="500" w:lineRule="exact"/>
        <w:ind w:firstLine="6000" w:firstLineChars="2500"/>
        <w:rPr>
          <w:rFonts w:hint="eastAsia" w:ascii="宋体" w:hAnsi="宋体" w:cs="Arial Unicode MS"/>
          <w:bCs/>
          <w:sz w:val="24"/>
        </w:rPr>
      </w:pPr>
    </w:p>
    <w:p>
      <w:pPr>
        <w:pStyle w:val="278"/>
        <w:spacing w:line="500" w:lineRule="exact"/>
        <w:ind w:firstLine="6000" w:firstLineChars="2500"/>
        <w:rPr>
          <w:rFonts w:hint="eastAsia" w:ascii="宋体" w:hAnsi="宋体" w:cs="Arial Unicode MS"/>
          <w:bCs/>
          <w:sz w:val="24"/>
        </w:rPr>
      </w:pPr>
    </w:p>
    <w:p>
      <w:pPr>
        <w:pStyle w:val="278"/>
        <w:spacing w:line="500" w:lineRule="exact"/>
        <w:ind w:firstLine="6000" w:firstLineChars="2500"/>
        <w:rPr>
          <w:rFonts w:hint="eastAsia" w:ascii="宋体" w:hAnsi="宋体" w:cs="Arial Unicode MS"/>
          <w:bCs/>
          <w:sz w:val="24"/>
        </w:rPr>
      </w:pPr>
    </w:p>
    <w:p>
      <w:pPr>
        <w:keepNext/>
        <w:keepLines/>
        <w:pageBreakBefore w:val="0"/>
        <w:widowControl w:val="0"/>
        <w:kinsoku/>
        <w:wordWrap/>
        <w:overflowPunct/>
        <w:topLinePunct w:val="0"/>
        <w:autoSpaceDE w:val="0"/>
        <w:autoSpaceDN w:val="0"/>
        <w:bidi w:val="0"/>
        <w:adjustRightInd w:val="0"/>
        <w:snapToGrid/>
        <w:textAlignment w:val="auto"/>
        <w:outlineLvl w:val="9"/>
        <w:rPr>
          <w:rFonts w:hint="eastAsia" w:ascii="Times New Roman" w:hAnsi="Times New Roman" w:eastAsia="宋体" w:cs="Times New Roman"/>
          <w:b/>
          <w:bCs/>
        </w:rPr>
      </w:pPr>
      <w:r>
        <w:rPr>
          <w:rFonts w:hint="eastAsia" w:ascii="Times New Roman" w:hAnsi="Times New Roman" w:eastAsia="宋体" w:cs="Times New Roman"/>
          <w:b/>
          <w:bCs/>
        </w:rPr>
        <w:br w:type="page"/>
      </w:r>
      <w:r>
        <w:rPr>
          <w:rFonts w:hint="eastAsia" w:ascii="Times New Roman" w:hAnsi="Times New Roman" w:eastAsia="宋体" w:cs="Times New Roman"/>
          <w:b/>
          <w:bCs/>
          <w:sz w:val="24"/>
          <w:szCs w:val="24"/>
        </w:rPr>
        <w:t>附件4：培训内容及培训方案</w:t>
      </w:r>
    </w:p>
    <w:p>
      <w:pPr>
        <w:keepNext/>
        <w:keepLines/>
        <w:pageBreakBefore w:val="0"/>
        <w:widowControl w:val="0"/>
        <w:kinsoku/>
        <w:wordWrap/>
        <w:overflowPunct/>
        <w:topLinePunct w:val="0"/>
        <w:autoSpaceDE w:val="0"/>
        <w:autoSpaceDN w:val="0"/>
        <w:bidi w:val="0"/>
        <w:adjustRightInd w:val="0"/>
        <w:snapToGrid/>
        <w:spacing w:line="500" w:lineRule="exact"/>
        <w:textAlignment w:val="auto"/>
        <w:outlineLvl w:val="9"/>
      </w:pPr>
      <w:r>
        <w:rPr>
          <w:rFonts w:hint="eastAsia"/>
        </w:rPr>
        <w:br w:type="page"/>
      </w:r>
      <w:r>
        <w:rPr>
          <w:rFonts w:hint="eastAsia"/>
          <w:b/>
          <w:bCs/>
          <w:sz w:val="24"/>
          <w:szCs w:val="24"/>
        </w:rPr>
        <w:t>附件5：中标通知书复印件（本合同的组成部分）</w:t>
      </w:r>
    </w:p>
    <w:p>
      <w:pPr>
        <w:pStyle w:val="278"/>
        <w:ind w:firstLine="420"/>
      </w:pPr>
    </w:p>
    <w:p>
      <w:pPr>
        <w:pStyle w:val="278"/>
        <w:ind w:firstLine="420"/>
      </w:pPr>
    </w:p>
    <w:p>
      <w:pPr>
        <w:spacing w:line="500" w:lineRule="exact"/>
        <w:rPr>
          <w:b/>
          <w:sz w:val="24"/>
        </w:rPr>
      </w:pPr>
    </w:p>
    <w:p>
      <w:pPr>
        <w:spacing w:line="500" w:lineRule="exact"/>
        <w:rPr>
          <w:rFonts w:ascii="宋体" w:hAnsi="宋体"/>
          <w:b/>
          <w:sz w:val="24"/>
        </w:rPr>
      </w:pPr>
    </w:p>
    <w:p/>
    <w:p>
      <w:pPr>
        <w:widowControl/>
        <w:tabs>
          <w:tab w:val="left" w:pos="5580"/>
        </w:tabs>
        <w:spacing w:line="360" w:lineRule="auto"/>
        <w:rPr>
          <w:rFonts w:ascii="宋体" w:hAnsi="宋体"/>
        </w:rPr>
      </w:pPr>
      <w:r>
        <w:rPr>
          <w:rFonts w:hint="eastAsia" w:ascii="宋体" w:hAnsi="宋体"/>
          <w:b/>
          <w:kern w:val="0"/>
          <w:sz w:val="24"/>
          <w:szCs w:val="20"/>
          <w:u w:val="single"/>
        </w:rPr>
        <w:br w:type="page"/>
      </w:r>
    </w:p>
    <w:p>
      <w:pPr>
        <w:spacing w:line="360" w:lineRule="auto"/>
        <w:jc w:val="center"/>
        <w:outlineLvl w:val="0"/>
        <w:rPr>
          <w:b/>
          <w:sz w:val="36"/>
          <w:szCs w:val="36"/>
        </w:rPr>
      </w:pPr>
      <w:bookmarkStart w:id="737" w:name="_Toc24830"/>
      <w:r>
        <w:rPr>
          <w:b/>
          <w:sz w:val="36"/>
          <w:szCs w:val="36"/>
        </w:rPr>
        <w:t>第六章   响应文件格式</w:t>
      </w:r>
      <w:bookmarkEnd w:id="737"/>
    </w:p>
    <w:p>
      <w:pPr>
        <w:widowControl/>
        <w:spacing w:line="360" w:lineRule="auto"/>
        <w:jc w:val="left"/>
        <w:rPr>
          <w:b/>
          <w:sz w:val="24"/>
        </w:rPr>
      </w:pPr>
    </w:p>
    <w:p>
      <w:pPr>
        <w:pStyle w:val="5"/>
        <w:rPr>
          <w:b/>
        </w:rPr>
      </w:pPr>
    </w:p>
    <w:p>
      <w:pPr>
        <w:jc w:val="center"/>
        <w:rPr>
          <w:rFonts w:hint="eastAsia"/>
          <w:b/>
          <w:sz w:val="44"/>
          <w:szCs w:val="44"/>
          <w:lang w:val="en-US" w:eastAsia="zh-CN"/>
        </w:rPr>
      </w:pPr>
    </w:p>
    <w:p>
      <w:pPr>
        <w:jc w:val="center"/>
        <w:rPr>
          <w:b/>
          <w:sz w:val="24"/>
        </w:rPr>
      </w:pPr>
      <w:r>
        <w:rPr>
          <w:rFonts w:hint="eastAsia"/>
          <w:b/>
          <w:sz w:val="44"/>
          <w:szCs w:val="44"/>
          <w:lang w:val="en-US" w:eastAsia="zh-CN"/>
        </w:rPr>
        <w:t>供应商需</w:t>
      </w:r>
      <w:r>
        <w:rPr>
          <w:rFonts w:hint="eastAsia"/>
          <w:b/>
          <w:sz w:val="44"/>
          <w:szCs w:val="44"/>
        </w:rPr>
        <w:t>按“包”进行响应文件编制</w:t>
      </w:r>
    </w:p>
    <w:p>
      <w:pPr>
        <w:pStyle w:val="5"/>
      </w:pPr>
    </w:p>
    <w:p>
      <w:pPr>
        <w:widowControl/>
        <w:spacing w:line="360" w:lineRule="auto"/>
        <w:jc w:val="left"/>
        <w:rPr>
          <w:b/>
          <w:sz w:val="24"/>
        </w:rPr>
      </w:pPr>
    </w:p>
    <w:p>
      <w:pPr>
        <w:pStyle w:val="2"/>
      </w:pPr>
    </w:p>
    <w:p>
      <w:pPr>
        <w:tabs>
          <w:tab w:val="left" w:pos="900"/>
          <w:tab w:val="left" w:pos="1980"/>
        </w:tabs>
        <w:snapToGrid w:val="0"/>
        <w:spacing w:line="360" w:lineRule="auto"/>
        <w:ind w:left="142"/>
        <w:rPr>
          <w:b/>
          <w:kern w:val="0"/>
          <w:sz w:val="24"/>
        </w:rPr>
      </w:pPr>
      <w:r>
        <w:rPr>
          <w:rFonts w:hint="eastAsia"/>
          <w:b/>
          <w:kern w:val="0"/>
          <w:sz w:val="24"/>
        </w:rPr>
        <w:t>供应商编制文件须知</w:t>
      </w:r>
    </w:p>
    <w:p>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tabs>
          <w:tab w:val="left" w:pos="900"/>
          <w:tab w:val="left" w:pos="1980"/>
        </w:tabs>
        <w:snapToGrid w:val="0"/>
        <w:spacing w:line="360" w:lineRule="auto"/>
        <w:ind w:left="142"/>
        <w:rPr>
          <w:sz w:val="24"/>
        </w:rPr>
      </w:pPr>
    </w:p>
    <w:p>
      <w:pPr>
        <w:widowControl/>
        <w:jc w:val="left"/>
        <w:rPr>
          <w:sz w:val="24"/>
        </w:rPr>
      </w:pPr>
      <w:r>
        <w:rPr>
          <w:sz w:val="24"/>
        </w:rPr>
        <w:br w:type="page"/>
      </w:r>
    </w:p>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Pr>
        <w:rPr>
          <w:b/>
          <w:spacing w:val="20"/>
          <w:szCs w:val="21"/>
        </w:rPr>
      </w:pPr>
    </w:p>
    <w:p>
      <w:pPr>
        <w:rPr>
          <w:b/>
          <w:sz w:val="24"/>
        </w:rPr>
      </w:pPr>
      <w:r>
        <w:rPr>
          <w:b/>
          <w:spacing w:val="20"/>
          <w:sz w:val="24"/>
        </w:rPr>
        <w:t>响应文件</w:t>
      </w:r>
      <w:r>
        <w:rPr>
          <w:b/>
          <w:sz w:val="24"/>
        </w:rPr>
        <w:t>封面（非实质性格式）</w:t>
      </w:r>
    </w:p>
    <w:p>
      <w:pPr>
        <w:jc w:val="center"/>
        <w:rPr>
          <w:szCs w:val="21"/>
        </w:rPr>
      </w:pPr>
    </w:p>
    <w:p>
      <w:pPr>
        <w:jc w:val="center"/>
        <w:rPr>
          <w:b/>
          <w:spacing w:val="60"/>
          <w:sz w:val="84"/>
          <w:szCs w:val="84"/>
        </w:rPr>
      </w:pPr>
      <w:r>
        <w:rPr>
          <w:b/>
          <w:spacing w:val="60"/>
          <w:sz w:val="84"/>
          <w:szCs w:val="84"/>
        </w:rPr>
        <w:t>响 应 文 件</w:t>
      </w:r>
    </w:p>
    <w:p>
      <w:pPr>
        <w:jc w:val="center"/>
        <w:rPr>
          <w:b/>
          <w:spacing w:val="60"/>
          <w:sz w:val="52"/>
          <w:szCs w:val="52"/>
        </w:rPr>
      </w:pP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pStyle w:val="34"/>
        <w:rPr>
          <w:b/>
          <w:spacing w:val="20"/>
          <w:sz w:val="32"/>
          <w:szCs w:val="32"/>
        </w:rPr>
      </w:pPr>
    </w:p>
    <w:p>
      <w:pPr>
        <w:rPr>
          <w:b/>
          <w:spacing w:val="20"/>
          <w:sz w:val="32"/>
          <w:szCs w:val="32"/>
        </w:rPr>
      </w:pPr>
    </w:p>
    <w:p>
      <w:pPr>
        <w:pStyle w:val="34"/>
      </w:pP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rPr>
          <w:b/>
          <w:spacing w:val="20"/>
          <w:sz w:val="32"/>
          <w:szCs w:val="32"/>
        </w:rPr>
      </w:pPr>
    </w:p>
    <w:p>
      <w:pPr>
        <w:jc w:val="center"/>
        <w:rPr>
          <w:b/>
          <w:spacing w:val="20"/>
          <w:sz w:val="32"/>
          <w:szCs w:val="32"/>
        </w:rPr>
      </w:pPr>
    </w:p>
    <w:p>
      <w:pPr>
        <w:spacing w:line="360" w:lineRule="auto"/>
        <w:ind w:firstLine="361" w:firstLineChars="100"/>
        <w:jc w:val="left"/>
        <w:rPr>
          <w:b/>
          <w:spacing w:val="20"/>
          <w:sz w:val="32"/>
          <w:szCs w:val="32"/>
        </w:rPr>
      </w:pPr>
      <w:r>
        <w:rPr>
          <w:b/>
          <w:spacing w:val="20"/>
          <w:sz w:val="32"/>
          <w:szCs w:val="32"/>
        </w:rPr>
        <w:t>供应商名称：</w:t>
      </w:r>
    </w:p>
    <w:p>
      <w:pPr>
        <w:jc w:val="center"/>
        <w:rPr>
          <w:b/>
          <w:sz w:val="32"/>
          <w:szCs w:val="32"/>
        </w:rPr>
      </w:pPr>
    </w:p>
    <w:p>
      <w:pPr>
        <w:rPr>
          <w:b/>
        </w:rPr>
      </w:pPr>
      <w:r>
        <w:rPr>
          <w:b/>
          <w:spacing w:val="20"/>
          <w:sz w:val="32"/>
          <w:szCs w:val="32"/>
        </w:rPr>
        <w:br w:type="page"/>
      </w:r>
    </w:p>
    <w:p>
      <w:pPr>
        <w:tabs>
          <w:tab w:val="left" w:pos="360"/>
        </w:tabs>
        <w:snapToGrid w:val="0"/>
        <w:spacing w:line="360" w:lineRule="auto"/>
        <w:outlineLvl w:val="1"/>
        <w:rPr>
          <w:sz w:val="24"/>
        </w:rPr>
      </w:pPr>
      <w:r>
        <w:rPr>
          <w:sz w:val="24"/>
        </w:rPr>
        <w:t>1 满足《中华人民共和国政府采购法》第二十二条规定及法律法规的其他规定</w:t>
      </w:r>
    </w:p>
    <w:p>
      <w:pPr>
        <w:spacing w:line="360" w:lineRule="auto"/>
        <w:outlineLvl w:val="2"/>
        <w:rPr>
          <w:color w:val="000000"/>
          <w:sz w:val="24"/>
        </w:rPr>
      </w:pPr>
      <w:r>
        <w:rPr>
          <w:color w:val="000000"/>
          <w:sz w:val="24"/>
        </w:rPr>
        <w:t>1-1营业执照等证明文件</w:t>
      </w:r>
      <w:r>
        <w:rPr>
          <w:rFonts w:hint="eastAsia"/>
          <w:color w:val="000000"/>
          <w:sz w:val="24"/>
        </w:rPr>
        <w:t>（</w:t>
      </w:r>
      <w:r>
        <w:rPr>
          <w:color w:val="000000"/>
          <w:sz w:val="24"/>
          <w:szCs w:val="20"/>
        </w:rPr>
        <w:t>复印件</w:t>
      </w:r>
      <w:r>
        <w:rPr>
          <w:rFonts w:hint="eastAsia" w:ascii="宋体" w:hAnsi="宋体"/>
          <w:sz w:val="24"/>
        </w:rPr>
        <w:t>并加盖本单位公章</w:t>
      </w:r>
      <w:r>
        <w:rPr>
          <w:rFonts w:hint="eastAsia"/>
          <w:color w:val="000000"/>
          <w:sz w:val="24"/>
        </w:rPr>
        <w:t>）</w:t>
      </w:r>
    </w:p>
    <w:p>
      <w:pPr>
        <w:tabs>
          <w:tab w:val="left" w:pos="1080"/>
        </w:tabs>
        <w:snapToGrid w:val="0"/>
        <w:rPr>
          <w:sz w:val="24"/>
        </w:rPr>
      </w:pPr>
    </w:p>
    <w:p>
      <w:pPr>
        <w:widowControl/>
        <w:jc w:val="left"/>
        <w:rPr>
          <w:color w:val="000000"/>
          <w:sz w:val="24"/>
          <w:szCs w:val="20"/>
        </w:rPr>
      </w:pPr>
      <w:r>
        <w:rPr>
          <w:color w:val="000000"/>
          <w:sz w:val="24"/>
        </w:rPr>
        <w:br w:type="page"/>
      </w:r>
    </w:p>
    <w:p>
      <w:pPr>
        <w:pStyle w:val="6"/>
        <w:rPr>
          <w:rFonts w:ascii="Times New Roman"/>
          <w:b w:val="0"/>
          <w:bCs/>
          <w:color w:val="000000"/>
          <w:szCs w:val="24"/>
          <w:u w:val="none"/>
        </w:rPr>
      </w:pPr>
      <w:r>
        <w:rPr>
          <w:rFonts w:ascii="Times New Roman"/>
          <w:b w:val="0"/>
          <w:color w:val="000000"/>
          <w:szCs w:val="24"/>
          <w:u w:val="none"/>
        </w:rPr>
        <w:t>1-2 供应商资格声明书（实质性格式）</w:t>
      </w:r>
    </w:p>
    <w:p>
      <w:pPr>
        <w:jc w:val="center"/>
        <w:rPr>
          <w:b/>
          <w:color w:val="000000"/>
          <w:sz w:val="36"/>
          <w:szCs w:val="36"/>
        </w:rPr>
      </w:pPr>
      <w:r>
        <w:rPr>
          <w:rFonts w:hint="eastAsia"/>
          <w:b/>
          <w:color w:val="000000"/>
          <w:sz w:val="36"/>
          <w:szCs w:val="36"/>
        </w:rPr>
        <w:t>供应商资格声明书</w:t>
      </w: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在参与本次项目磋商中，我单位承诺：</w:t>
      </w:r>
    </w:p>
    <w:p>
      <w:pPr>
        <w:numPr>
          <w:ilvl w:val="0"/>
          <w:numId w:val="8"/>
        </w:numPr>
        <w:spacing w:line="360" w:lineRule="auto"/>
        <w:ind w:left="1134"/>
        <w:rPr>
          <w:sz w:val="24"/>
          <w:szCs w:val="22"/>
        </w:rPr>
      </w:pPr>
      <w:r>
        <w:rPr>
          <w:sz w:val="24"/>
          <w:szCs w:val="22"/>
        </w:rPr>
        <w:t>具有良好的商业信誉和健全的财务会计制度；</w:t>
      </w:r>
    </w:p>
    <w:p>
      <w:pPr>
        <w:numPr>
          <w:ilvl w:val="0"/>
          <w:numId w:val="8"/>
        </w:numPr>
        <w:spacing w:line="360" w:lineRule="auto"/>
        <w:ind w:left="1134"/>
        <w:rPr>
          <w:sz w:val="24"/>
          <w:szCs w:val="22"/>
        </w:rPr>
      </w:pPr>
      <w:r>
        <w:rPr>
          <w:sz w:val="24"/>
          <w:szCs w:val="22"/>
        </w:rPr>
        <w:t>具有履行合同所必需的设备和专业技术能力；</w:t>
      </w:r>
    </w:p>
    <w:p>
      <w:pPr>
        <w:numPr>
          <w:ilvl w:val="0"/>
          <w:numId w:val="8"/>
        </w:numPr>
        <w:spacing w:line="360" w:lineRule="auto"/>
        <w:ind w:left="1134"/>
        <w:rPr>
          <w:sz w:val="24"/>
          <w:szCs w:val="22"/>
        </w:rPr>
      </w:pPr>
      <w:r>
        <w:rPr>
          <w:sz w:val="24"/>
          <w:szCs w:val="22"/>
        </w:rPr>
        <w:t>有依法缴纳税收和社会保障资金的良好记录；</w:t>
      </w:r>
    </w:p>
    <w:p>
      <w:pPr>
        <w:numPr>
          <w:ilvl w:val="0"/>
          <w:numId w:val="8"/>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8"/>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8"/>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8"/>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pPr>
        <w:spacing w:line="360" w:lineRule="auto"/>
        <w:ind w:right="360" w:firstLine="480"/>
        <w:jc w:val="right"/>
        <w:rPr>
          <w:sz w:val="24"/>
        </w:rPr>
      </w:pPr>
      <w:r>
        <w:rPr>
          <w:color w:val="000000"/>
          <w:sz w:val="24"/>
          <w:szCs w:val="20"/>
        </w:rPr>
        <w:t xml:space="preserve">日期：____年____月____日   </w:t>
      </w:r>
    </w:p>
    <w:p>
      <w:pPr>
        <w:spacing w:line="360" w:lineRule="auto"/>
        <w:rPr>
          <w:sz w:val="24"/>
        </w:rPr>
      </w:pPr>
      <w:r>
        <w:rPr>
          <w:rFonts w:hint="eastAsia"/>
          <w:sz w:val="24"/>
        </w:rPr>
        <w:t>说明：供应商承诺不实的，依据《政府采购法》第七十七条“提供虚假材料谋取中标、成交的”有关规定予以处理。</w:t>
      </w:r>
    </w:p>
    <w:p>
      <w:pPr>
        <w:tabs>
          <w:tab w:val="left" w:pos="5580"/>
        </w:tabs>
        <w:spacing w:line="360" w:lineRule="auto"/>
        <w:rPr>
          <w:sz w:val="24"/>
        </w:rPr>
        <w:sectPr>
          <w:headerReference r:id="rId14" w:type="default"/>
          <w:footerReference r:id="rId15" w:type="default"/>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sz w:val="24"/>
        </w:rPr>
      </w:pPr>
      <w:r>
        <w:rPr>
          <w:sz w:val="24"/>
        </w:rPr>
        <w:t>2 落实政府采购政策需满足的资格要求</w:t>
      </w:r>
    </w:p>
    <w:p>
      <w:pPr>
        <w:spacing w:line="360" w:lineRule="auto"/>
        <w:outlineLvl w:val="2"/>
        <w:rPr>
          <w:color w:val="000000"/>
          <w:sz w:val="24"/>
          <w:szCs w:val="20"/>
        </w:rPr>
      </w:pPr>
      <w:r>
        <w:rPr>
          <w:color w:val="000000"/>
          <w:sz w:val="24"/>
          <w:szCs w:val="20"/>
        </w:rPr>
        <w:t>2-1中小企业声明函</w:t>
      </w:r>
      <w:r>
        <w:rPr>
          <w:rFonts w:hint="eastAsia"/>
          <w:b/>
          <w:bCs/>
          <w:sz w:val="24"/>
        </w:rPr>
        <w:t>（</w:t>
      </w:r>
      <w:r>
        <w:rPr>
          <w:b/>
          <w:bCs/>
          <w:sz w:val="24"/>
        </w:rPr>
        <w:t>本项目不专门面向中小企业预留采购份额</w:t>
      </w:r>
      <w:r>
        <w:rPr>
          <w:rFonts w:hint="eastAsia"/>
          <w:b/>
          <w:bCs/>
          <w:sz w:val="24"/>
        </w:rPr>
        <w:t>）</w:t>
      </w:r>
    </w:p>
    <w:p>
      <w:pPr>
        <w:tabs>
          <w:tab w:val="left" w:pos="5580"/>
        </w:tabs>
        <w:spacing w:line="360" w:lineRule="auto"/>
        <w:rPr>
          <w:sz w:val="24"/>
        </w:rPr>
      </w:pPr>
    </w:p>
    <w:p>
      <w:pPr>
        <w:tabs>
          <w:tab w:val="left" w:pos="5580"/>
        </w:tabs>
        <w:spacing w:line="360" w:lineRule="auto"/>
        <w:rPr>
          <w:sz w:val="24"/>
        </w:rPr>
      </w:pPr>
      <w:r>
        <w:rPr>
          <w:sz w:val="24"/>
        </w:rPr>
        <w:t>说明：</w:t>
      </w:r>
    </w:p>
    <w:p>
      <w:pPr>
        <w:tabs>
          <w:tab w:val="left" w:pos="5580"/>
        </w:tabs>
        <w:spacing w:line="360" w:lineRule="auto"/>
        <w:rPr>
          <w:b/>
          <w:bCs/>
          <w:sz w:val="24"/>
        </w:rPr>
      </w:pPr>
      <w:r>
        <w:rPr>
          <w:b/>
          <w:bCs/>
          <w:sz w:val="24"/>
        </w:rPr>
        <w:t>（1）如本项目（包）不专门面向中小企业预留采购份额，</w:t>
      </w:r>
      <w:r>
        <w:rPr>
          <w:rFonts w:hint="eastAsia"/>
          <w:b/>
          <w:bCs/>
          <w:sz w:val="24"/>
        </w:rPr>
        <w:t>供应商非必须</w:t>
      </w:r>
      <w:r>
        <w:rPr>
          <w:b/>
          <w:bCs/>
          <w:sz w:val="24"/>
        </w:rPr>
        <w:t>提供</w:t>
      </w:r>
      <w:r>
        <w:rPr>
          <w:rFonts w:hint="eastAsia"/>
          <w:b/>
          <w:bCs/>
          <w:sz w:val="24"/>
        </w:rPr>
        <w:t>；当小微企业拟享受中小企业扶持政策时，仍应提供</w:t>
      </w:r>
      <w:r>
        <w:rPr>
          <w:b/>
          <w:bCs/>
          <w:sz w:val="24"/>
        </w:rPr>
        <w:t>《中小企业声明函》</w:t>
      </w:r>
      <w:r>
        <w:rPr>
          <w:rFonts w:hint="eastAsia"/>
          <w:b/>
          <w:bCs/>
          <w:sz w:val="24"/>
        </w:rPr>
        <w:t>，</w:t>
      </w:r>
      <w:r>
        <w:rPr>
          <w:b/>
          <w:bCs/>
          <w:color w:val="000000"/>
          <w:sz w:val="24"/>
        </w:rPr>
        <w:t>否则不得享受相关中小企业扶持政策</w:t>
      </w:r>
      <w:r>
        <w:rPr>
          <w:b/>
          <w:bCs/>
          <w:sz w:val="24"/>
        </w:rPr>
        <w:t>。</w:t>
      </w:r>
    </w:p>
    <w:p>
      <w:pPr>
        <w:tabs>
          <w:tab w:val="left" w:pos="5580"/>
        </w:tabs>
        <w:spacing w:line="360" w:lineRule="auto"/>
        <w:rPr>
          <w:b/>
          <w:bCs/>
          <w:sz w:val="24"/>
        </w:rPr>
      </w:pPr>
      <w:r>
        <w:rPr>
          <w:b/>
          <w:bCs/>
          <w:sz w:val="24"/>
        </w:rPr>
        <w:t>（2）如本项目（包）专门面向中小/小微企业采购，须提供《中小企业声明函》（实质性格式）。</w:t>
      </w:r>
    </w:p>
    <w:p>
      <w:pPr>
        <w:tabs>
          <w:tab w:val="left" w:pos="5580"/>
        </w:tabs>
        <w:spacing w:line="360" w:lineRule="auto"/>
        <w:rPr>
          <w:sz w:val="24"/>
        </w:rPr>
      </w:pPr>
      <w:r>
        <w:rPr>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pPr>
        <w:tabs>
          <w:tab w:val="left" w:pos="5580"/>
        </w:tabs>
        <w:spacing w:line="360" w:lineRule="auto"/>
        <w:rPr>
          <w:sz w:val="24"/>
        </w:rPr>
      </w:pPr>
      <w:r>
        <w:rPr>
          <w:sz w:val="24"/>
        </w:rPr>
        <w:t>（4）其他</w:t>
      </w:r>
    </w:p>
    <w:p>
      <w:pPr>
        <w:tabs>
          <w:tab w:val="left" w:pos="5580"/>
        </w:tabs>
        <w:spacing w:line="360" w:lineRule="auto"/>
        <w:rPr>
          <w:sz w:val="24"/>
        </w:rPr>
      </w:pPr>
      <w:r>
        <w:rPr>
          <w:sz w:val="24"/>
        </w:rPr>
        <w:t>1）中小企业参加政府采购活动，应当出具此格式文件。《中小企业声明函》由参加政府采购活动的供应商出具。联合体响应的，《中小企业声明函》由牵头人出具。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sz w:val="24"/>
        </w:rPr>
      </w:pPr>
      <w:r>
        <w:rPr>
          <w:sz w:val="24"/>
        </w:rPr>
        <w:t>3）对于多标的的采购项目，供应商应充分、准确地了解所投产品制造企业信息。对相关情况了解不清楚的，不建议填报本声明函。</w:t>
      </w:r>
    </w:p>
    <w:p>
      <w:pPr>
        <w:tabs>
          <w:tab w:val="left" w:pos="5580"/>
        </w:tabs>
        <w:spacing w:line="360" w:lineRule="auto"/>
        <w:rPr>
          <w:sz w:val="24"/>
        </w:rPr>
      </w:pPr>
      <w:r>
        <w:rPr>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tabs>
          <w:tab w:val="left" w:pos="5580"/>
        </w:tabs>
        <w:spacing w:line="360" w:lineRule="auto"/>
        <w:rPr>
          <w:sz w:val="24"/>
        </w:rPr>
      </w:pPr>
    </w:p>
    <w:p>
      <w:pPr>
        <w:widowControl/>
        <w:jc w:val="left"/>
        <w:rPr>
          <w:sz w:val="24"/>
        </w:rPr>
      </w:pPr>
      <w:r>
        <w:rPr>
          <w:sz w:val="24"/>
        </w:rPr>
        <w:br w:type="page"/>
      </w:r>
    </w:p>
    <w:p>
      <w:pPr>
        <w:spacing w:before="312" w:beforeLines="100" w:after="312" w:afterLines="100" w:line="360" w:lineRule="auto"/>
        <w:jc w:val="center"/>
        <w:rPr>
          <w:b/>
          <w:color w:val="000000"/>
          <w:sz w:val="36"/>
          <w:szCs w:val="36"/>
        </w:rPr>
      </w:pPr>
      <w:r>
        <w:rPr>
          <w:b/>
          <w:bCs/>
          <w:color w:val="000000"/>
          <w:sz w:val="36"/>
          <w:szCs w:val="36"/>
        </w:rPr>
        <w:t>中小企业声明函（货物）格式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w:t>
      </w:r>
      <w:r>
        <w:rPr>
          <w:sz w:val="24"/>
        </w:rPr>
        <w:t>______</w:t>
      </w:r>
    </w:p>
    <w:p>
      <w:pPr>
        <w:spacing w:line="360" w:lineRule="auto"/>
        <w:ind w:right="360" w:firstLine="480"/>
        <w:jc w:val="right"/>
        <w:rPr>
          <w:color w:val="000000"/>
          <w:sz w:val="24"/>
        </w:rPr>
      </w:pPr>
      <w:r>
        <w:rPr>
          <w:color w:val="000000"/>
          <w:sz w:val="24"/>
        </w:rPr>
        <w:t>日 期：</w:t>
      </w:r>
      <w:r>
        <w:rPr>
          <w:sz w:val="24"/>
        </w:rPr>
        <w:t>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before="312" w:beforeLines="100" w:after="312"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r>
        <w:rPr>
          <w:rFonts w:hint="eastAsia"/>
          <w:b/>
          <w:bCs/>
          <w:color w:val="000000"/>
          <w:sz w:val="36"/>
          <w:szCs w:val="36"/>
        </w:rPr>
        <w:t>（本项目不适用）</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pPr>
        <w:spacing w:line="360" w:lineRule="auto"/>
        <w:ind w:firstLine="504"/>
        <w:rPr>
          <w:spacing w:val="6"/>
          <w:sz w:val="24"/>
        </w:rPr>
      </w:pP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w:t>
      </w:r>
      <w:r>
        <w:rPr>
          <w:sz w:val="24"/>
        </w:rPr>
        <w:t>______</w:t>
      </w:r>
    </w:p>
    <w:p>
      <w:pPr>
        <w:spacing w:line="360" w:lineRule="auto"/>
        <w:ind w:right="360" w:firstLine="480"/>
        <w:jc w:val="right"/>
        <w:rPr>
          <w:color w:val="000000"/>
          <w:sz w:val="24"/>
        </w:rPr>
      </w:pPr>
      <w:r>
        <w:rPr>
          <w:color w:val="000000"/>
          <w:sz w:val="24"/>
        </w:rPr>
        <w:t>日 期：</w:t>
      </w:r>
      <w:r>
        <w:rPr>
          <w:sz w:val="24"/>
        </w:rPr>
        <w:t>______</w:t>
      </w:r>
    </w:p>
    <w:p>
      <w:pPr>
        <w:adjustRightInd w:val="0"/>
        <w:snapToGrid w:val="0"/>
        <w:jc w:val="left"/>
        <w:rPr>
          <w:color w:val="000000"/>
          <w:sz w:val="24"/>
          <w:szCs w:val="21"/>
        </w:rPr>
      </w:pPr>
    </w:p>
    <w:p>
      <w:pPr>
        <w:adjustRightInd w:val="0"/>
        <w:snapToGrid w:val="0"/>
        <w:jc w:val="left"/>
        <w:rPr>
          <w:color w:val="000000"/>
          <w:sz w:val="24"/>
          <w:szCs w:val="21"/>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rPr>
          <w:color w:val="000000"/>
          <w:sz w:val="24"/>
          <w:szCs w:val="20"/>
        </w:rPr>
      </w:pPr>
      <w:r>
        <w:rPr>
          <w:color w:val="000000"/>
          <w:sz w:val="24"/>
          <w:szCs w:val="20"/>
        </w:rPr>
        <w:br w:type="page"/>
      </w:r>
    </w:p>
    <w:p>
      <w:pPr>
        <w:spacing w:before="312" w:beforeLines="100" w:after="312"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pPr>
        <w:spacing w:before="312" w:beforeLines="100" w:after="312" w:afterLines="100" w:line="360" w:lineRule="auto"/>
        <w:jc w:val="left"/>
        <w:rPr>
          <w:rFonts w:ascii="宋体" w:hAnsi="宋体"/>
          <w:b/>
          <w:bCs/>
          <w:color w:val="000000"/>
          <w:sz w:val="36"/>
          <w:szCs w:val="36"/>
        </w:rPr>
      </w:pPr>
      <w:r>
        <w:rPr>
          <w:color w:val="000000"/>
          <w:sz w:val="24"/>
          <w:szCs w:val="20"/>
        </w:rPr>
        <w:br w:type="page"/>
      </w:r>
      <w:r>
        <w:rPr>
          <w:rFonts w:hint="eastAsia"/>
          <w:b/>
          <w:bCs/>
          <w:color w:val="000000"/>
          <w:sz w:val="36"/>
          <w:szCs w:val="36"/>
        </w:rPr>
        <w:t>附：</w:t>
      </w:r>
      <w:r>
        <w:rPr>
          <w:b/>
          <w:bCs/>
          <w:color w:val="000000"/>
          <w:sz w:val="36"/>
          <w:szCs w:val="36"/>
        </w:rPr>
        <w:t>中小企业划型标准规定</w:t>
      </w:r>
      <w:r>
        <w:rPr>
          <w:rFonts w:hint="eastAsia"/>
          <w:b/>
          <w:bCs/>
          <w:color w:val="000000"/>
          <w:sz w:val="36"/>
          <w:szCs w:val="36"/>
        </w:rPr>
        <w:t>（参考）</w:t>
      </w:r>
    </w:p>
    <w:p>
      <w:pPr>
        <w:pStyle w:val="23"/>
        <w:spacing w:line="360" w:lineRule="auto"/>
        <w:rPr>
          <w:rFonts w:hint="default" w:hAnsi="宋体"/>
          <w:sz w:val="24"/>
          <w:szCs w:val="24"/>
        </w:rPr>
      </w:pPr>
      <w:r>
        <w:rPr>
          <w:rFonts w:hAnsi="宋体"/>
          <w:sz w:val="24"/>
          <w:szCs w:val="24"/>
        </w:rPr>
        <w:t>　　一、根据《中华人民共和国中小企业促进法》和《国务院关于进一步促进中小企业发展的若干意见》(国发〔2009〕36号)，制定本规定。</w:t>
      </w:r>
      <w:r>
        <w:rPr>
          <w:rFonts w:hAnsi="宋体"/>
          <w:sz w:val="24"/>
          <w:szCs w:val="24"/>
        </w:rPr>
        <w:br w:type="textWrapping"/>
      </w:r>
      <w:r>
        <w:rPr>
          <w:rFonts w:hAnsi="宋体"/>
          <w:sz w:val="24"/>
          <w:szCs w:val="24"/>
        </w:rPr>
        <w:t>　　二、中小企业划分为中型、小型、微型三种类型，具体标准根据企业从业人员、营业收入、资产总额等指标，结合行业特点制定。</w:t>
      </w:r>
      <w:r>
        <w:rPr>
          <w:rFonts w:hAnsi="宋体"/>
          <w:sz w:val="24"/>
          <w:szCs w:val="24"/>
        </w:rPr>
        <w:br w:type="textWrapping"/>
      </w:r>
      <w:r>
        <w:rPr>
          <w:rFonts w:hAnsi="宋体"/>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ype="textWrapping"/>
      </w:r>
      <w:r>
        <w:rPr>
          <w:rFonts w:hAnsi="宋体"/>
          <w:sz w:val="24"/>
          <w:szCs w:val="24"/>
        </w:rPr>
        <w:t>　　四、各行业划型标准为：</w:t>
      </w:r>
      <w:r>
        <w:rPr>
          <w:rFonts w:hAnsi="宋体"/>
          <w:sz w:val="24"/>
          <w:szCs w:val="24"/>
        </w:rPr>
        <w:br w:type="textWrapping"/>
      </w:r>
      <w:r>
        <w:rPr>
          <w:rFonts w:hAnsi="宋体"/>
          <w:sz w:val="24"/>
          <w:szCs w:val="24"/>
        </w:rPr>
        <w:t>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ype="textWrapping"/>
      </w:r>
      <w:r>
        <w:rPr>
          <w:rFonts w:hAnsi="宋体"/>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ype="textWrapping"/>
      </w:r>
      <w:r>
        <w:rPr>
          <w:rFonts w:hAnsi="宋体"/>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ype="textWrapping"/>
      </w:r>
      <w:r>
        <w:rPr>
          <w:rFonts w:hAnsi="宋体"/>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ype="textWrapping"/>
      </w:r>
      <w:r>
        <w:rPr>
          <w:rFonts w:hAnsi="宋体"/>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ype="textWrapping"/>
      </w:r>
      <w:r>
        <w:rPr>
          <w:rFonts w:hAnsi="宋体"/>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ype="textWrapping"/>
      </w:r>
      <w:r>
        <w:rPr>
          <w:rFonts w:hAnsi="宋体"/>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ype="textWrapping"/>
      </w:r>
      <w:r>
        <w:rPr>
          <w:rFonts w:hAnsi="宋体"/>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Ansi="宋体"/>
          <w:sz w:val="24"/>
          <w:szCs w:val="24"/>
        </w:rPr>
        <w:br w:type="textWrapping"/>
      </w:r>
      <w:r>
        <w:rPr>
          <w:rFonts w:hAnsi="宋体"/>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ype="textWrapping"/>
      </w:r>
      <w:r>
        <w:rPr>
          <w:rFonts w:hAnsi="宋体"/>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ype="textWrapping"/>
      </w:r>
      <w:r>
        <w:rPr>
          <w:rFonts w:hAnsi="宋体"/>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ype="textWrapping"/>
      </w:r>
      <w:r>
        <w:rPr>
          <w:rFonts w:hAnsi="宋体"/>
          <w:sz w:val="24"/>
          <w:szCs w:val="24"/>
        </w:rPr>
        <w:t>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ype="textWrapping"/>
      </w:r>
      <w:r>
        <w:rPr>
          <w:rFonts w:hAnsi="宋体"/>
          <w:sz w:val="24"/>
          <w:szCs w:val="24"/>
        </w:rPr>
        <w:t>　　五、企业类型的划分以统计部门的统计数据为依据。</w:t>
      </w:r>
      <w:r>
        <w:rPr>
          <w:rFonts w:hAnsi="宋体"/>
          <w:sz w:val="24"/>
          <w:szCs w:val="24"/>
        </w:rPr>
        <w:br w:type="textWrapping"/>
      </w:r>
      <w:r>
        <w:rPr>
          <w:rFonts w:hAnsi="宋体"/>
          <w:sz w:val="24"/>
          <w:szCs w:val="24"/>
        </w:rPr>
        <w:t>　　六、本规定适用于在中华人民共和国境内依法设立的各类所有制和各种组织形式的企业。个体工商户和本规定以外的行业，参照本规定进行划型。</w:t>
      </w:r>
      <w:r>
        <w:rPr>
          <w:rFonts w:hAnsi="宋体"/>
          <w:sz w:val="24"/>
          <w:szCs w:val="24"/>
        </w:rPr>
        <w:br w:type="textWrapping"/>
      </w:r>
      <w:r>
        <w:rPr>
          <w:rFonts w:hAnsi="宋体"/>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ype="textWrapping"/>
      </w:r>
      <w:r>
        <w:rPr>
          <w:rFonts w:hAnsi="宋体"/>
          <w:sz w:val="24"/>
          <w:szCs w:val="24"/>
        </w:rPr>
        <w:t>　　八、本规定由工业和信息化部、国家统计局会同有关部门根据《国民经济行业分类》修订情况和企业发展变化情况适时修订。</w:t>
      </w:r>
      <w:r>
        <w:rPr>
          <w:rFonts w:hAnsi="宋体"/>
          <w:sz w:val="24"/>
          <w:szCs w:val="24"/>
        </w:rPr>
        <w:br w:type="textWrapping"/>
      </w:r>
      <w:r>
        <w:rPr>
          <w:rFonts w:hAnsi="宋体"/>
          <w:sz w:val="24"/>
          <w:szCs w:val="24"/>
        </w:rPr>
        <w:t>　　九、本规定由工业和信息化部、国家统计局会同有关部门负责解释。</w:t>
      </w:r>
      <w:r>
        <w:rPr>
          <w:rFonts w:hAnsi="宋体"/>
          <w:sz w:val="24"/>
          <w:szCs w:val="24"/>
        </w:rPr>
        <w:br w:type="textWrapping"/>
      </w:r>
      <w:r>
        <w:rPr>
          <w:rFonts w:hAnsi="宋体"/>
          <w:sz w:val="24"/>
          <w:szCs w:val="24"/>
        </w:rPr>
        <w:t>　　十、本规定自发布之日起执行，原国家经贸委、原国家计委、财政部和国家统计局2003年颁布的《中小企业标准暂行规定》同时废止。</w:t>
      </w:r>
    </w:p>
    <w:p>
      <w:pPr>
        <w:rPr>
          <w:color w:val="000000"/>
          <w:sz w:val="24"/>
          <w:szCs w:val="20"/>
        </w:rPr>
      </w:pPr>
    </w:p>
    <w:p>
      <w:pPr>
        <w:pStyle w:val="5"/>
      </w:pPr>
    </w:p>
    <w:p>
      <w:pPr>
        <w:outlineLvl w:val="2"/>
        <w:rPr>
          <w:color w:val="000000"/>
          <w:sz w:val="24"/>
          <w:szCs w:val="20"/>
        </w:rPr>
      </w:pPr>
      <w:r>
        <w:rPr>
          <w:color w:val="000000"/>
          <w:sz w:val="24"/>
          <w:szCs w:val="20"/>
        </w:rPr>
        <w:br w:type="page"/>
      </w:r>
      <w:r>
        <w:rPr>
          <w:color w:val="000000"/>
          <w:sz w:val="24"/>
          <w:szCs w:val="20"/>
        </w:rPr>
        <w:t xml:space="preserve">2-2 </w:t>
      </w:r>
      <w:r>
        <w:rPr>
          <w:sz w:val="24"/>
        </w:rPr>
        <w:t>其它落实政府采购政策的资格要求</w:t>
      </w:r>
    </w:p>
    <w:p>
      <w:pPr>
        <w:widowControl/>
        <w:jc w:val="left"/>
        <w:rPr>
          <w:sz w:val="24"/>
        </w:rPr>
      </w:pPr>
    </w:p>
    <w:p>
      <w:pPr>
        <w:pStyle w:val="23"/>
        <w:spacing w:line="360" w:lineRule="auto"/>
        <w:jc w:val="center"/>
        <w:rPr>
          <w:rFonts w:hint="default" w:hAnsi="宋体"/>
          <w:b/>
          <w:bCs/>
          <w:sz w:val="28"/>
          <w:szCs w:val="28"/>
        </w:rPr>
      </w:pPr>
      <w:r>
        <w:rPr>
          <w:rFonts w:hAnsi="宋体"/>
          <w:b/>
          <w:bCs/>
          <w:sz w:val="28"/>
          <w:szCs w:val="28"/>
        </w:rPr>
        <w:t>环保专项承诺（实质性格式）</w:t>
      </w:r>
    </w:p>
    <w:p>
      <w:pPr>
        <w:pStyle w:val="23"/>
        <w:spacing w:line="360" w:lineRule="auto"/>
        <w:jc w:val="left"/>
        <w:rPr>
          <w:rFonts w:hint="default" w:hAnsi="宋体"/>
          <w:b/>
          <w:bCs/>
          <w:sz w:val="24"/>
          <w:szCs w:val="24"/>
        </w:rPr>
      </w:pPr>
      <w:r>
        <w:rPr>
          <w:rFonts w:hAnsi="宋体"/>
          <w:b/>
          <w:bCs/>
          <w:sz w:val="24"/>
          <w:szCs w:val="24"/>
        </w:rPr>
        <w:t>（供应商必须提供此承诺，未提供该承诺的将被视为无效响应文件）</w:t>
      </w:r>
    </w:p>
    <w:p>
      <w:pPr>
        <w:pStyle w:val="37"/>
        <w:spacing w:line="360" w:lineRule="auto"/>
        <w:ind w:firstLine="480" w:firstLineChars="200"/>
        <w:rPr>
          <w:rFonts w:ascii="宋体" w:hAnsi="宋体" w:cs="宋体"/>
          <w:szCs w:val="24"/>
        </w:rPr>
      </w:pPr>
    </w:p>
    <w:p>
      <w:pPr>
        <w:pStyle w:val="37"/>
        <w:spacing w:line="360" w:lineRule="auto"/>
        <w:ind w:firstLine="480" w:firstLineChars="200"/>
        <w:rPr>
          <w:rFonts w:ascii="宋体" w:hAnsi="宋体" w:cs="宋体"/>
          <w:szCs w:val="24"/>
        </w:rPr>
      </w:pPr>
      <w:r>
        <w:rPr>
          <w:rFonts w:hint="eastAsia" w:ascii="宋体" w:hAnsi="宋体" w:cs="宋体"/>
          <w:szCs w:val="24"/>
        </w:rPr>
        <w:t>致：北京国际工程咨询有限公司</w:t>
      </w:r>
    </w:p>
    <w:p>
      <w:pPr>
        <w:pStyle w:val="37"/>
        <w:spacing w:line="360" w:lineRule="auto"/>
        <w:ind w:firstLine="480" w:firstLineChars="200"/>
        <w:rPr>
          <w:rFonts w:ascii="宋体" w:hAnsi="宋体" w:cs="宋体"/>
          <w:szCs w:val="24"/>
        </w:rPr>
      </w:pPr>
      <w:r>
        <w:rPr>
          <w:rFonts w:hint="eastAsia" w:ascii="宋体" w:hAnsi="宋体" w:cs="宋体"/>
          <w:szCs w:val="24"/>
        </w:rPr>
        <w:t>我公司参加本次</w:t>
      </w:r>
      <w:r>
        <w:rPr>
          <w:rFonts w:hint="eastAsia" w:ascii="宋体" w:hAnsi="宋体"/>
          <w:szCs w:val="24"/>
          <w:u w:val="single"/>
        </w:rPr>
        <w:t xml:space="preserve">       （项目名称）                   </w:t>
      </w:r>
      <w:r>
        <w:rPr>
          <w:rFonts w:hint="eastAsia" w:ascii="宋体" w:hAnsi="宋体"/>
          <w:szCs w:val="24"/>
        </w:rPr>
        <w:t>的</w:t>
      </w:r>
      <w:r>
        <w:rPr>
          <w:rFonts w:hint="eastAsia" w:ascii="宋体" w:hAnsi="宋体" w:cs="宋体"/>
          <w:szCs w:val="24"/>
        </w:rPr>
        <w:t>磋商，根据《北京市财政局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应在磋商文件中明确要求参与政府采购的供应商执行符合本市和国家的VOCs含量限值标准”。据此，我公司承诺如下：</w:t>
      </w:r>
    </w:p>
    <w:p>
      <w:pPr>
        <w:pStyle w:val="37"/>
        <w:spacing w:line="360" w:lineRule="auto"/>
        <w:ind w:firstLine="480" w:firstLineChars="200"/>
        <w:rPr>
          <w:rFonts w:ascii="宋体" w:hAnsi="宋体"/>
          <w:szCs w:val="24"/>
        </w:rPr>
      </w:pPr>
      <w:r>
        <w:rPr>
          <w:rFonts w:hint="eastAsia" w:ascii="宋体" w:hAnsi="宋体" w:cs="宋体"/>
          <w:szCs w:val="24"/>
        </w:rPr>
        <w:t>1、产品生产过程中，符合</w:t>
      </w:r>
      <w:r>
        <w:rPr>
          <w:rFonts w:hint="eastAsia" w:ascii="宋体" w:hAnsi="宋体"/>
          <w:szCs w:val="24"/>
        </w:rPr>
        <w:t>木器涂料中有害物质限量（GB18581-2020）、胶粘剂挥发性有机化合物限量（GB33722-2020）、木质家具制造业大气污染物排放标准（DB11/1202-2015）要求</w:t>
      </w:r>
      <w:r>
        <w:rPr>
          <w:rFonts w:hint="eastAsia" w:ascii="宋体" w:hAnsi="宋体" w:cs="宋体"/>
          <w:szCs w:val="24"/>
        </w:rPr>
        <w:t>。</w:t>
      </w:r>
      <w:r>
        <w:rPr>
          <w:rFonts w:hint="eastAsia" w:ascii="宋体" w:hAnsi="宋体"/>
          <w:szCs w:val="24"/>
        </w:rPr>
        <w:t xml:space="preserve"> </w:t>
      </w:r>
    </w:p>
    <w:p>
      <w:pPr>
        <w:pStyle w:val="37"/>
        <w:spacing w:line="360" w:lineRule="auto"/>
        <w:ind w:firstLine="480" w:firstLineChars="200"/>
        <w:rPr>
          <w:rFonts w:ascii="宋体" w:hAnsi="宋体" w:cs="宋体"/>
          <w:szCs w:val="24"/>
        </w:rPr>
      </w:pPr>
      <w:r>
        <w:rPr>
          <w:rFonts w:hint="eastAsia" w:ascii="宋体" w:hAnsi="宋体" w:cs="宋体"/>
          <w:szCs w:val="24"/>
        </w:rPr>
        <w:t>2、对国家标准和北京市地方标准中不一致的，执行更严的标准限值。</w:t>
      </w:r>
    </w:p>
    <w:p>
      <w:pPr>
        <w:pStyle w:val="37"/>
        <w:spacing w:line="360" w:lineRule="auto"/>
        <w:ind w:firstLine="480" w:firstLineChars="200"/>
        <w:rPr>
          <w:rFonts w:ascii="宋体" w:hAnsi="宋体" w:cs="宋体"/>
          <w:szCs w:val="24"/>
        </w:rPr>
      </w:pPr>
      <w:r>
        <w:rPr>
          <w:rFonts w:hint="eastAsia" w:ascii="宋体" w:hAnsi="宋体" w:cs="宋体"/>
          <w:szCs w:val="24"/>
        </w:rPr>
        <w:t>3、在生产过程中，如遇国家标准和北京市地方标准更新，按最新标准执行。</w:t>
      </w:r>
    </w:p>
    <w:p>
      <w:pPr>
        <w:autoSpaceDE w:val="0"/>
        <w:autoSpaceDN w:val="0"/>
        <w:adjustRightInd w:val="0"/>
        <w:snapToGrid w:val="0"/>
        <w:spacing w:before="25" w:after="25" w:line="360" w:lineRule="auto"/>
        <w:ind w:right="360" w:firstLine="360" w:firstLineChars="150"/>
        <w:rPr>
          <w:color w:val="000000"/>
          <w:sz w:val="24"/>
        </w:rPr>
      </w:pPr>
    </w:p>
    <w:p>
      <w:pPr>
        <w:autoSpaceDE w:val="0"/>
        <w:autoSpaceDN w:val="0"/>
        <w:adjustRightInd w:val="0"/>
        <w:snapToGrid w:val="0"/>
        <w:spacing w:before="25" w:after="25" w:line="360" w:lineRule="auto"/>
        <w:ind w:right="360" w:firstLine="360" w:firstLineChars="150"/>
        <w:rPr>
          <w:color w:val="000000"/>
          <w:sz w:val="24"/>
        </w:rPr>
      </w:pPr>
    </w:p>
    <w:p>
      <w:pPr>
        <w:autoSpaceDE w:val="0"/>
        <w:autoSpaceDN w:val="0"/>
        <w:adjustRightInd w:val="0"/>
        <w:snapToGrid w:val="0"/>
        <w:spacing w:before="25" w:after="25" w:line="360" w:lineRule="auto"/>
        <w:ind w:right="360" w:firstLine="360" w:firstLineChars="15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 xml:space="preserve">）：______________        </w:t>
      </w:r>
    </w:p>
    <w:p>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pPr>
        <w:widowControl/>
        <w:jc w:val="left"/>
        <w:rPr>
          <w:sz w:val="24"/>
        </w:rPr>
      </w:pPr>
      <w:r>
        <w:rPr>
          <w:sz w:val="24"/>
        </w:rPr>
        <w:br w:type="page"/>
      </w:r>
    </w:p>
    <w:p>
      <w:pPr>
        <w:tabs>
          <w:tab w:val="left" w:pos="360"/>
        </w:tabs>
        <w:snapToGrid w:val="0"/>
        <w:spacing w:line="360" w:lineRule="auto"/>
        <w:outlineLvl w:val="1"/>
        <w:rPr>
          <w:rFonts w:hint="eastAsia" w:eastAsia="宋体"/>
          <w:sz w:val="24"/>
          <w:lang w:val="en-US" w:eastAsia="zh-CN"/>
        </w:rPr>
      </w:pPr>
      <w:r>
        <w:rPr>
          <w:sz w:val="24"/>
        </w:rPr>
        <w:t>3 本项目的特定资格要求（如有）</w:t>
      </w:r>
      <w:r>
        <w:rPr>
          <w:rFonts w:hint="eastAsia"/>
          <w:sz w:val="24"/>
          <w:lang w:eastAsia="zh-CN"/>
        </w:rPr>
        <w:t>：</w:t>
      </w:r>
    </w:p>
    <w:p>
      <w:pPr>
        <w:widowControl/>
        <w:jc w:val="left"/>
        <w:rPr>
          <w:sz w:val="24"/>
          <w:szCs w:val="20"/>
        </w:rPr>
      </w:pPr>
      <w:r>
        <w:rPr>
          <w:sz w:val="24"/>
        </w:rPr>
        <w:br w:type="page"/>
      </w:r>
    </w:p>
    <w:p>
      <w:pPr>
        <w:tabs>
          <w:tab w:val="left" w:pos="360"/>
        </w:tabs>
        <w:snapToGrid w:val="0"/>
        <w:spacing w:line="360" w:lineRule="auto"/>
        <w:outlineLvl w:val="1"/>
        <w:rPr>
          <w:sz w:val="24"/>
        </w:rPr>
      </w:pPr>
      <w:r>
        <w:rPr>
          <w:sz w:val="24"/>
        </w:rPr>
        <w:t>4 磋商保证金凭证/交款单据</w:t>
      </w:r>
      <w:r>
        <w:rPr>
          <w:rFonts w:hint="eastAsia"/>
          <w:sz w:val="24"/>
        </w:rPr>
        <w:t>复印件</w:t>
      </w:r>
    </w:p>
    <w:p>
      <w:pPr>
        <w:widowControl/>
        <w:jc w:val="left"/>
        <w:rPr>
          <w:b/>
          <w:sz w:val="24"/>
        </w:rPr>
      </w:pPr>
      <w:r>
        <w:rPr>
          <w:b/>
          <w:sz w:val="24"/>
        </w:rPr>
        <w:br w:type="page"/>
      </w:r>
    </w:p>
    <w:p>
      <w:pPr>
        <w:tabs>
          <w:tab w:val="left" w:pos="360"/>
        </w:tabs>
        <w:snapToGrid w:val="0"/>
        <w:spacing w:line="360" w:lineRule="auto"/>
        <w:outlineLvl w:val="1"/>
        <w:rPr>
          <w:sz w:val="24"/>
        </w:rPr>
      </w:pPr>
      <w:bookmarkStart w:id="738" w:name="_Hlt520343000"/>
      <w:bookmarkEnd w:id="738"/>
      <w:bookmarkStart w:id="739" w:name="_Hlt520274407"/>
      <w:bookmarkEnd w:id="739"/>
      <w:bookmarkStart w:id="740" w:name="_Hlt520273711"/>
      <w:bookmarkEnd w:id="740"/>
      <w:bookmarkStart w:id="741" w:name="_Hlt520350918"/>
      <w:bookmarkEnd w:id="741"/>
      <w:bookmarkStart w:id="742" w:name="_Hlt520355504"/>
      <w:bookmarkEnd w:id="742"/>
      <w:bookmarkStart w:id="743" w:name="_Hlt520274065"/>
      <w:bookmarkEnd w:id="743"/>
      <w:bookmarkStart w:id="744" w:name="_Hlt520274393"/>
      <w:bookmarkEnd w:id="744"/>
      <w:bookmarkStart w:id="745" w:name="_Hlt520271212"/>
      <w:bookmarkEnd w:id="745"/>
      <w:bookmarkStart w:id="746" w:name="_Hlt520343392"/>
      <w:bookmarkEnd w:id="746"/>
      <w:bookmarkStart w:id="747" w:name="_Hlt520274121"/>
      <w:bookmarkEnd w:id="747"/>
      <w:bookmarkStart w:id="748" w:name="_Toc480942349"/>
      <w:bookmarkStart w:id="749" w:name="_Ref467988698"/>
      <w:bookmarkStart w:id="750" w:name="_Toc150774761"/>
      <w:bookmarkStart w:id="751" w:name="_Toc142311058"/>
      <w:bookmarkStart w:id="752" w:name="_Toc520356217"/>
      <w:bookmarkStart w:id="753" w:name="_Toc127151556"/>
      <w:bookmarkStart w:id="754" w:name="_Toc226965829"/>
      <w:bookmarkStart w:id="755" w:name="_Toc226309800"/>
      <w:bookmarkStart w:id="756" w:name="_Toc226337252"/>
      <w:bookmarkStart w:id="757" w:name="_Toc226965746"/>
      <w:bookmarkStart w:id="758" w:name="_Toc195842921"/>
      <w:bookmarkStart w:id="759" w:name="_Toc150480794"/>
      <w:r>
        <w:rPr>
          <w:sz w:val="24"/>
        </w:rPr>
        <w:t xml:space="preserve">5  </w:t>
      </w:r>
      <w:bookmarkEnd w:id="748"/>
      <w:bookmarkEnd w:id="749"/>
      <w:r>
        <w:rPr>
          <w:sz w:val="24"/>
        </w:rPr>
        <w:t>响应书</w:t>
      </w:r>
      <w:bookmarkEnd w:id="750"/>
      <w:bookmarkEnd w:id="751"/>
      <w:bookmarkEnd w:id="752"/>
      <w:bookmarkEnd w:id="753"/>
      <w:bookmarkEnd w:id="754"/>
      <w:bookmarkEnd w:id="755"/>
      <w:bookmarkEnd w:id="756"/>
      <w:bookmarkEnd w:id="757"/>
      <w:bookmarkEnd w:id="758"/>
      <w:bookmarkEnd w:id="759"/>
    </w:p>
    <w:p>
      <w:pPr>
        <w:tabs>
          <w:tab w:val="left" w:pos="5580"/>
        </w:tabs>
        <w:spacing w:line="360" w:lineRule="auto"/>
        <w:rPr>
          <w:color w:val="000000"/>
          <w:sz w:val="24"/>
        </w:rPr>
      </w:pPr>
    </w:p>
    <w:p>
      <w:pPr>
        <w:spacing w:line="360" w:lineRule="auto"/>
        <w:jc w:val="center"/>
        <w:rPr>
          <w:b/>
          <w:color w:val="000000"/>
          <w:sz w:val="36"/>
          <w:szCs w:val="36"/>
        </w:rPr>
      </w:pPr>
      <w:r>
        <w:rPr>
          <w:rFonts w:hint="eastAsia"/>
          <w:b/>
          <w:color w:val="000000"/>
          <w:sz w:val="36"/>
          <w:szCs w:val="36"/>
        </w:rPr>
        <w:t>响应书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（项目名称，项目编号/包号）组织的采购活动，并对此项目进行磋商。</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已详细审查全部竞争性磋商文件</w:t>
      </w:r>
      <w:r>
        <w:rPr>
          <w:color w:val="000000"/>
          <w:sz w:val="24"/>
          <w:szCs w:val="20"/>
        </w:rPr>
        <w:t>，自愿参与磋商并承诺如下：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（1）本响应有效期为自提交响应文件的截止之日起</w:t>
      </w:r>
      <w:r>
        <w:rPr>
          <w:sz w:val="24"/>
        </w:rPr>
        <w:t>______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（2）除合同条款及采购需求偏离表列出的偏离外，我方响应竞争性磋商文件的全部要求。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sz w:val="24"/>
        </w:rPr>
        <w:t>______</w:t>
      </w:r>
      <w:r>
        <w:rPr>
          <w:color w:val="000000"/>
          <w:sz w:val="24"/>
        </w:rPr>
        <w:t>。</w:t>
      </w:r>
    </w:p>
    <w:p>
      <w:pPr>
        <w:spacing w:line="360" w:lineRule="auto"/>
        <w:ind w:firstLine="480" w:firstLineChars="200"/>
        <w:rPr>
          <w:color w:val="000000"/>
          <w:sz w:val="24"/>
        </w:rPr>
      </w:pPr>
      <w:r>
        <w:rPr>
          <w:color w:val="000000"/>
          <w:sz w:val="24"/>
        </w:rPr>
        <w:t>与本磋商有关的一切正式往来信函请寄：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传   真</w:t>
      </w:r>
      <w:r>
        <w:rPr>
          <w:bCs/>
          <w:color w:val="000000"/>
          <w:sz w:val="24"/>
        </w:rPr>
        <w:t>_________________________</w:t>
      </w:r>
    </w:p>
    <w:p>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电子函件</w:t>
      </w:r>
      <w:r>
        <w:rPr>
          <w:bCs/>
          <w:color w:val="000000"/>
          <w:sz w:val="24"/>
        </w:rPr>
        <w:t>_________________________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autoSpaceDE w:val="0"/>
        <w:autoSpaceDN w:val="0"/>
        <w:adjustRightInd w:val="0"/>
        <w:snapToGrid w:val="0"/>
        <w:spacing w:before="25" w:after="25" w:line="360" w:lineRule="auto"/>
        <w:ind w:right="360" w:firstLine="360" w:firstLineChars="15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 xml:space="preserve">）：______________        </w:t>
      </w:r>
    </w:p>
    <w:p>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pPr>
        <w:widowControl/>
        <w:jc w:val="left"/>
        <w:rPr>
          <w:color w:val="000000"/>
          <w:sz w:val="24"/>
        </w:rPr>
      </w:pPr>
      <w:bookmarkStart w:id="760" w:name="_Hlt520355938"/>
      <w:bookmarkEnd w:id="760"/>
      <w:bookmarkStart w:id="761" w:name="_Hlt520356243"/>
      <w:bookmarkEnd w:id="761"/>
      <w:bookmarkStart w:id="762" w:name="_Toc226965747"/>
      <w:bookmarkStart w:id="763" w:name="_Ref467988705"/>
      <w:bookmarkStart w:id="764" w:name="_Toc150480795"/>
      <w:bookmarkStart w:id="765" w:name="_Toc480942350"/>
      <w:bookmarkStart w:id="766" w:name="_Toc264969247"/>
      <w:bookmarkStart w:id="767" w:name="_Toc150774762"/>
      <w:bookmarkStart w:id="768" w:name="_Toc305158825"/>
      <w:bookmarkStart w:id="769" w:name="_Toc520356218"/>
      <w:bookmarkStart w:id="770" w:name="_Toc305158899"/>
      <w:bookmarkStart w:id="771" w:name="_Toc226965830"/>
      <w:bookmarkStart w:id="772" w:name="_Toc142311059"/>
      <w:bookmarkStart w:id="773" w:name="_Toc265228395"/>
      <w:bookmarkStart w:id="774" w:name="_Toc127151557"/>
      <w:bookmarkStart w:id="775" w:name="_Toc195842922"/>
      <w:bookmarkStart w:id="776" w:name="_Toc226337253"/>
      <w:bookmarkStart w:id="777" w:name="_Toc226309801"/>
    </w:p>
    <w:p>
      <w:pPr>
        <w:tabs>
          <w:tab w:val="left" w:pos="360"/>
        </w:tabs>
        <w:snapToGrid w:val="0"/>
        <w:spacing w:line="360" w:lineRule="auto"/>
        <w:outlineLvl w:val="1"/>
        <w:rPr>
          <w:sz w:val="24"/>
        </w:rPr>
        <w:sectPr>
          <w:headerReference r:id="rId17" w:type="first"/>
          <w:footerReference r:id="rId19" w:type="first"/>
          <w:headerReference r:id="rId16" w:type="even"/>
          <w:footerReference r:id="rId18" w:type="even"/>
          <w:pgSz w:w="11906" w:h="16838"/>
          <w:pgMar w:top="1440" w:right="1274" w:bottom="1440" w:left="1800" w:header="851" w:footer="992" w:gutter="0"/>
          <w:pgNumType w:fmt="decimal"/>
          <w:cols w:space="720" w:num="1"/>
          <w:docGrid w:type="lines" w:linePitch="312" w:charSpace="0"/>
        </w:sectPr>
      </w:pPr>
    </w:p>
    <w:p>
      <w:pPr>
        <w:tabs>
          <w:tab w:val="left" w:pos="360"/>
        </w:tabs>
        <w:snapToGrid w:val="0"/>
        <w:spacing w:line="360" w:lineRule="auto"/>
        <w:outlineLvl w:val="1"/>
        <w:rPr>
          <w:sz w:val="24"/>
        </w:rPr>
      </w:pPr>
      <w:r>
        <w:rPr>
          <w:sz w:val="24"/>
        </w:rPr>
        <w:t>6  授权委托书</w:t>
      </w:r>
    </w:p>
    <w:p>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pPr>
        <w:spacing w:line="360" w:lineRule="auto"/>
        <w:ind w:firstLine="420"/>
        <w:rPr>
          <w:color w:val="000000"/>
          <w:sz w:val="24"/>
          <w:szCs w:val="20"/>
        </w:rPr>
      </w:pPr>
      <w:r>
        <w:rPr>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pPr>
        <w:spacing w:line="360" w:lineRule="auto"/>
        <w:ind w:firstLine="420"/>
        <w:rPr>
          <w:color w:val="000000"/>
          <w:sz w:val="24"/>
          <w:szCs w:val="20"/>
        </w:rPr>
      </w:pPr>
      <w:r>
        <w:rPr>
          <w:color w:val="000000"/>
          <w:sz w:val="24"/>
          <w:szCs w:val="20"/>
        </w:rPr>
        <w:t>委托期限：自本授权委托书签署之日起至响应有效期届满之日止。</w:t>
      </w:r>
    </w:p>
    <w:p>
      <w:pPr>
        <w:spacing w:line="360" w:lineRule="auto"/>
        <w:ind w:firstLine="420"/>
        <w:rPr>
          <w:color w:val="000000"/>
          <w:sz w:val="24"/>
          <w:szCs w:val="20"/>
        </w:rPr>
      </w:pPr>
      <w:r>
        <w:rPr>
          <w:color w:val="000000"/>
          <w:sz w:val="24"/>
          <w:szCs w:val="20"/>
        </w:rPr>
        <w:t>代理人无转委托权。</w:t>
      </w:r>
      <w:r>
        <w:rPr>
          <w:color w:val="000000"/>
          <w:sz w:val="24"/>
          <w:szCs w:val="20"/>
        </w:rPr>
        <w:cr/>
      </w:r>
    </w:p>
    <w:p>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pPr>
        <w:spacing w:line="360" w:lineRule="auto"/>
        <w:rPr>
          <w:color w:val="000000"/>
          <w:sz w:val="24"/>
          <w:szCs w:val="20"/>
        </w:rPr>
      </w:pPr>
      <w:r>
        <w:rPr>
          <w:color w:val="000000"/>
          <w:sz w:val="24"/>
          <w:szCs w:val="20"/>
        </w:rPr>
        <w:t>法定代表人（单位负责人）（签字</w:t>
      </w:r>
      <w:r>
        <w:rPr>
          <w:rFonts w:hint="eastAsia" w:ascii="宋体" w:hAnsi="宋体"/>
          <w:color w:val="000000"/>
          <w:sz w:val="24"/>
          <w:szCs w:val="20"/>
        </w:rPr>
        <w:t>或签章</w:t>
      </w:r>
      <w:r>
        <w:rPr>
          <w:color w:val="000000"/>
          <w:sz w:val="24"/>
          <w:szCs w:val="20"/>
        </w:rPr>
        <w:t>或印鉴）：______________</w:t>
      </w:r>
    </w:p>
    <w:p>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hAnsi="宋体"/>
          <w:color w:val="000000"/>
          <w:sz w:val="24"/>
          <w:szCs w:val="20"/>
        </w:rPr>
        <w:t>/签章</w:t>
      </w:r>
      <w:r>
        <w:rPr>
          <w:color w:val="000000"/>
          <w:sz w:val="24"/>
        </w:rPr>
        <w:t>）：</w:t>
      </w:r>
      <w:r>
        <w:rPr>
          <w:color w:val="000000"/>
          <w:sz w:val="24"/>
          <w:szCs w:val="20"/>
        </w:rPr>
        <w:t>______________</w:t>
      </w:r>
      <w:r>
        <w:rPr>
          <w:color w:val="000000"/>
          <w:sz w:val="24"/>
          <w:lang w:val="zh-CN"/>
        </w:rPr>
        <w:t xml:space="preserve">        </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pPr>
        <w:tabs>
          <w:tab w:val="left" w:pos="5580"/>
        </w:tabs>
        <w:spacing w:line="360" w:lineRule="auto"/>
        <w:ind w:firstLine="480" w:firstLineChars="200"/>
        <w:rPr>
          <w:color w:val="000000"/>
          <w:sz w:val="24"/>
          <w:szCs w:val="20"/>
        </w:rPr>
      </w:pPr>
    </w:p>
    <w:p>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536"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536"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tabs>
          <w:tab w:val="left" w:pos="5580"/>
        </w:tabs>
        <w:spacing w:line="360" w:lineRule="auto"/>
        <w:jc w:val="left"/>
        <w:rPr>
          <w:color w:val="000000"/>
          <w:sz w:val="24"/>
          <w:szCs w:val="20"/>
        </w:rPr>
      </w:pPr>
      <w:r>
        <w:rPr>
          <w:color w:val="000000"/>
          <w:sz w:val="24"/>
          <w:szCs w:val="20"/>
        </w:rPr>
        <w:t>说明：</w:t>
      </w:r>
    </w:p>
    <w:p>
      <w:pPr>
        <w:tabs>
          <w:tab w:val="left" w:pos="5580"/>
        </w:tabs>
        <w:spacing w:line="360" w:lineRule="auto"/>
        <w:jc w:val="left"/>
        <w:rPr>
          <w:color w:val="000000"/>
          <w:sz w:val="24"/>
          <w:szCs w:val="20"/>
        </w:rPr>
      </w:pPr>
      <w:r>
        <w:rPr>
          <w:color w:val="000000"/>
          <w:sz w:val="24"/>
          <w:szCs w:val="20"/>
        </w:rPr>
        <w:t>1.若供应商为事业单位或其他组织或分支机构（仅当磋商文件注明允许分支机构响应的），则法定代表人（单位负责人）处的签署人可为单位负责人。</w:t>
      </w:r>
    </w:p>
    <w:p>
      <w:pPr>
        <w:tabs>
          <w:tab w:val="left" w:pos="5580"/>
        </w:tabs>
        <w:spacing w:line="360" w:lineRule="auto"/>
        <w:jc w:val="left"/>
        <w:rPr>
          <w:color w:val="000000"/>
          <w:sz w:val="24"/>
          <w:szCs w:val="20"/>
        </w:rPr>
      </w:pPr>
      <w:r>
        <w:rPr>
          <w:color w:val="000000"/>
          <w:sz w:val="24"/>
          <w:szCs w:val="20"/>
        </w:rPr>
        <w:t>2.若响应文件中签字之处均为法定代表人（单位负责人）本人签署，则可不提供本《授权委托书》，但须提供《法定代表人（单位负责人）身份证明》（实质性格式）。</w:t>
      </w:r>
    </w:p>
    <w:p>
      <w:pPr>
        <w:tabs>
          <w:tab w:val="left" w:pos="5580"/>
        </w:tabs>
        <w:spacing w:line="360" w:lineRule="auto"/>
        <w:jc w:val="left"/>
        <w:rPr>
          <w:color w:val="000000"/>
          <w:sz w:val="24"/>
          <w:szCs w:val="20"/>
        </w:rPr>
      </w:pPr>
      <w:r>
        <w:rPr>
          <w:color w:val="000000"/>
          <w:sz w:val="24"/>
          <w:szCs w:val="20"/>
        </w:rPr>
        <w:t>3.供应商为自然人的情形，可不提供本《授权委托书》。</w:t>
      </w:r>
    </w:p>
    <w:p>
      <w:pPr>
        <w:autoSpaceDE w:val="0"/>
        <w:autoSpaceDN w:val="0"/>
        <w:adjustRightInd w:val="0"/>
        <w:spacing w:line="360" w:lineRule="auto"/>
        <w:jc w:val="center"/>
        <w:rPr>
          <w:b/>
          <w:color w:val="000000"/>
          <w:sz w:val="36"/>
          <w:szCs w:val="36"/>
        </w:rPr>
        <w:sectPr>
          <w:pgSz w:w="11906" w:h="16838"/>
          <w:pgMar w:top="1440" w:right="1274" w:bottom="1440" w:left="1800" w:header="851" w:footer="992" w:gutter="0"/>
          <w:pgNumType w:fmt="decimal"/>
          <w:cols w:space="720" w:num="1"/>
          <w:docGrid w:type="lines" w:linePitch="312" w:charSpace="0"/>
        </w:sectPr>
      </w:pPr>
    </w:p>
    <w:p>
      <w:pPr>
        <w:autoSpaceDE w:val="0"/>
        <w:autoSpaceDN w:val="0"/>
        <w:adjustRightInd w:val="0"/>
        <w:spacing w:line="360" w:lineRule="auto"/>
        <w:jc w:val="center"/>
        <w:rPr>
          <w:b/>
          <w:color w:val="000000"/>
          <w:sz w:val="36"/>
          <w:szCs w:val="36"/>
        </w:rPr>
      </w:pPr>
      <w:r>
        <w:rPr>
          <w:rFonts w:hint="eastAsia"/>
          <w:b/>
          <w:color w:val="000000"/>
          <w:sz w:val="36"/>
          <w:szCs w:val="36"/>
        </w:rPr>
        <w:t>附：法定代表人（单位负责人）身份证明</w:t>
      </w:r>
    </w:p>
    <w:p>
      <w:pPr>
        <w:kinsoku w:val="0"/>
        <w:overflowPunct w:val="0"/>
        <w:spacing w:line="200" w:lineRule="exact"/>
        <w:rPr>
          <w:sz w:val="20"/>
          <w:szCs w:val="20"/>
        </w:rPr>
      </w:pPr>
    </w:p>
    <w:p>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pPr>
        <w:pStyle w:val="2"/>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pPr>
        <w:pStyle w:val="2"/>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pPr>
        <w:pStyle w:val="2"/>
        <w:tabs>
          <w:tab w:val="left" w:pos="2412"/>
          <w:tab w:val="left" w:pos="3883"/>
          <w:tab w:val="left" w:pos="5352"/>
          <w:tab w:val="left" w:pos="6821"/>
        </w:tabs>
        <w:kinsoku w:val="0"/>
        <w:overflowPunct w:val="0"/>
        <w:spacing w:line="335" w:lineRule="exact"/>
        <w:rPr>
          <w:rFonts w:ascii="Times New Roman" w:hAnsi="Times New Roman"/>
        </w:rPr>
      </w:pPr>
    </w:p>
    <w:p>
      <w:pPr>
        <w:pStyle w:val="2"/>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pPr>
        <w:pStyle w:val="2"/>
        <w:tabs>
          <w:tab w:val="left" w:pos="2412"/>
          <w:tab w:val="left" w:pos="3883"/>
          <w:tab w:val="left" w:pos="5352"/>
          <w:tab w:val="left" w:pos="6821"/>
        </w:tabs>
        <w:kinsoku w:val="0"/>
        <w:overflowPunct w:val="0"/>
        <w:spacing w:line="335" w:lineRule="exact"/>
        <w:rPr>
          <w:rFonts w:ascii="Times New Roman" w:hAnsi="Times New Roman"/>
        </w:rPr>
      </w:pPr>
    </w:p>
    <w:p>
      <w:pPr>
        <w:pStyle w:val="2"/>
        <w:tabs>
          <w:tab w:val="left" w:pos="2412"/>
          <w:tab w:val="left" w:pos="3883"/>
          <w:tab w:val="left" w:pos="5352"/>
          <w:tab w:val="left" w:pos="6821"/>
        </w:tabs>
        <w:kinsoku w:val="0"/>
        <w:overflowPunct w:val="0"/>
        <w:spacing w:line="335" w:lineRule="exact"/>
        <w:rPr>
          <w:rFonts w:ascii="Times New Roman" w:hAnsi="Times New Roman"/>
        </w:rPr>
      </w:pPr>
    </w:p>
    <w:p>
      <w:pPr>
        <w:pStyle w:val="2"/>
        <w:tabs>
          <w:tab w:val="left" w:pos="2412"/>
          <w:tab w:val="left" w:pos="3883"/>
          <w:tab w:val="left" w:pos="5352"/>
          <w:tab w:val="left" w:pos="6821"/>
        </w:tabs>
        <w:kinsoku w:val="0"/>
        <w:overflowPunct w:val="0"/>
        <w:spacing w:line="335" w:lineRule="exact"/>
        <w:rPr>
          <w:rFonts w:ascii="Times New Roman" w:hAnsi="Times New Roman"/>
        </w:rPr>
      </w:pPr>
    </w:p>
    <w:p>
      <w:pPr>
        <w:pStyle w:val="2"/>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w:t>
      </w:r>
      <w:r>
        <w:rPr>
          <w:rFonts w:ascii="Times New Roman" w:hAnsi="Times New Roman"/>
          <w:b/>
          <w:bCs/>
          <w:spacing w:val="-3"/>
        </w:rPr>
        <w:t>正反面</w:t>
      </w:r>
      <w:r>
        <w:rPr>
          <w:rFonts w:hint="eastAsia"/>
          <w:color w:val="000000"/>
          <w:szCs w:val="20"/>
        </w:rPr>
        <w:t>复印</w:t>
      </w:r>
      <w:r>
        <w:rPr>
          <w:color w:val="000000"/>
          <w:szCs w:val="20"/>
        </w:rPr>
        <w:t>件</w:t>
      </w:r>
      <w:r>
        <w:rPr>
          <w:rFonts w:hint="eastAsia"/>
          <w:color w:val="000000"/>
          <w:szCs w:val="20"/>
        </w:rPr>
        <w:t>：</w:t>
      </w:r>
    </w:p>
    <w:tbl>
      <w:tblPr>
        <w:tblStyle w:val="45"/>
        <w:tblW w:w="89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54"/>
        <w:gridCol w:w="4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454"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460"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pStyle w:val="2"/>
        <w:kinsoku w:val="0"/>
        <w:overflowPunct w:val="0"/>
        <w:spacing w:line="583" w:lineRule="auto"/>
        <w:ind w:right="4305"/>
        <w:rPr>
          <w:rFonts w:ascii="Times New Roman" w:hAnsi="Times New Roman"/>
          <w:spacing w:val="-3"/>
        </w:rPr>
      </w:pPr>
    </w:p>
    <w:p>
      <w:pPr>
        <w:pStyle w:val="2"/>
        <w:kinsoku w:val="0"/>
        <w:overflowPunct w:val="0"/>
        <w:spacing w:line="583" w:lineRule="auto"/>
        <w:ind w:right="4305"/>
        <w:rPr>
          <w:rFonts w:ascii="Times New Roman" w:hAnsi="Times New Roman"/>
          <w:spacing w:val="-3"/>
        </w:rPr>
      </w:pPr>
    </w:p>
    <w:p>
      <w:pPr>
        <w:pStyle w:val="2"/>
        <w:kinsoku w:val="0"/>
        <w:overflowPunct w:val="0"/>
        <w:spacing w:line="583" w:lineRule="auto"/>
        <w:ind w:right="4305"/>
        <w:rPr>
          <w:rFonts w:ascii="Times New Roman" w:hAnsi="Times New Roman"/>
          <w:spacing w:val="-3"/>
        </w:rPr>
      </w:pPr>
    </w:p>
    <w:p>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hint="eastAsia" w:ascii="宋体" w:hAnsi="宋体"/>
          <w:color w:val="000000"/>
          <w:sz w:val="24"/>
          <w:szCs w:val="20"/>
        </w:rPr>
        <w:t>或签章</w:t>
      </w:r>
      <w:r>
        <w:rPr>
          <w:spacing w:val="-3"/>
          <w:sz w:val="24"/>
        </w:rPr>
        <w:t>或印鉴）：</w:t>
      </w:r>
      <w:r>
        <w:rPr>
          <w:sz w:val="24"/>
        </w:rPr>
        <w:t>______</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pPr>
        <w:widowControl/>
        <w:jc w:val="left"/>
        <w:rPr>
          <w:i/>
          <w:color w:val="000000"/>
          <w:sz w:val="24"/>
          <w:szCs w:val="20"/>
          <w:u w:val="single"/>
        </w:rPr>
      </w:pPr>
    </w:p>
    <w:p>
      <w:pPr>
        <w:widowControl/>
        <w:jc w:val="left"/>
        <w:rPr>
          <w:color w:val="000000"/>
          <w:sz w:val="24"/>
          <w:szCs w:val="20"/>
        </w:rPr>
      </w:pPr>
      <w:r>
        <w:rPr>
          <w:color w:val="000000"/>
          <w:sz w:val="24"/>
          <w:szCs w:val="20"/>
        </w:rPr>
        <w:br w:type="page"/>
      </w:r>
    </w:p>
    <w:p>
      <w:pPr>
        <w:tabs>
          <w:tab w:val="left" w:pos="360"/>
        </w:tabs>
        <w:snapToGrid w:val="0"/>
        <w:spacing w:line="360" w:lineRule="auto"/>
        <w:outlineLvl w:val="1"/>
        <w:rPr>
          <w:sz w:val="24"/>
        </w:rPr>
      </w:pPr>
      <w:r>
        <w:rPr>
          <w:sz w:val="24"/>
        </w:rPr>
        <w:t>7  报价一览表</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pPr>
        <w:spacing w:line="360" w:lineRule="exact"/>
        <w:jc w:val="center"/>
        <w:rPr>
          <w:b/>
          <w:color w:val="000000"/>
          <w:sz w:val="36"/>
          <w:szCs w:val="36"/>
        </w:rPr>
      </w:pPr>
      <w:bookmarkStart w:id="778" w:name="_Toc264969248"/>
      <w:bookmarkStart w:id="779" w:name="_Toc164608672"/>
      <w:bookmarkStart w:id="780" w:name="_Toc195842923"/>
      <w:bookmarkStart w:id="781" w:name="_Toc226309802"/>
      <w:bookmarkStart w:id="782" w:name="_Toc265228396"/>
      <w:bookmarkStart w:id="783" w:name="_Toc226965748"/>
      <w:bookmarkStart w:id="784" w:name="_Toc305158826"/>
      <w:bookmarkStart w:id="785" w:name="_Toc164608827"/>
      <w:bookmarkStart w:id="786" w:name="_Toc226965831"/>
      <w:bookmarkStart w:id="787" w:name="_Toc305158900"/>
      <w:bookmarkStart w:id="788" w:name="_Toc226337254"/>
      <w:r>
        <w:rPr>
          <w:rFonts w:hint="eastAsia"/>
          <w:b/>
          <w:color w:val="000000"/>
          <w:sz w:val="36"/>
          <w:szCs w:val="36"/>
        </w:rPr>
        <w:t>报价一览表</w:t>
      </w:r>
      <w:bookmarkEnd w:id="778"/>
      <w:bookmarkEnd w:id="779"/>
      <w:bookmarkEnd w:id="780"/>
      <w:bookmarkEnd w:id="781"/>
      <w:bookmarkEnd w:id="782"/>
      <w:bookmarkEnd w:id="783"/>
      <w:bookmarkEnd w:id="784"/>
      <w:bookmarkEnd w:id="785"/>
      <w:bookmarkEnd w:id="786"/>
      <w:bookmarkEnd w:id="787"/>
      <w:bookmarkEnd w:id="788"/>
    </w:p>
    <w:p>
      <w:pPr>
        <w:tabs>
          <w:tab w:val="left" w:pos="1800"/>
          <w:tab w:val="left" w:pos="5580"/>
        </w:tabs>
        <w:spacing w:line="360" w:lineRule="auto"/>
        <w:jc w:val="left"/>
        <w:rPr>
          <w:color w:val="000000"/>
          <w:sz w:val="24"/>
        </w:rPr>
      </w:pPr>
    </w:p>
    <w:p>
      <w:pPr>
        <w:tabs>
          <w:tab w:val="left" w:pos="1800"/>
          <w:tab w:val="left" w:pos="5580"/>
        </w:tabs>
        <w:spacing w:line="360" w:lineRule="auto"/>
        <w:ind w:firstLine="240" w:firstLineChars="100"/>
        <w:jc w:val="left"/>
        <w:rPr>
          <w:color w:val="000000"/>
          <w:sz w:val="24"/>
          <w:u w:val="single"/>
        </w:rPr>
      </w:pPr>
      <w:r>
        <w:rPr>
          <w:color w:val="000000"/>
          <w:sz w:val="24"/>
        </w:rPr>
        <w:t>项目编号/包号：</w:t>
      </w:r>
      <w:r>
        <w:rPr>
          <w:sz w:val="24"/>
        </w:rPr>
        <w:t>___________</w:t>
      </w:r>
      <w:r>
        <w:rPr>
          <w:color w:val="000000"/>
          <w:sz w:val="24"/>
        </w:rPr>
        <w:t xml:space="preserve">     项目名称：</w:t>
      </w:r>
      <w:r>
        <w:rPr>
          <w:sz w:val="24"/>
        </w:rPr>
        <w:t>___________</w:t>
      </w:r>
    </w:p>
    <w:tbl>
      <w:tblPr>
        <w:tblStyle w:val="45"/>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jc w:val="left"/>
        <w:rPr>
          <w:color w:val="000000"/>
          <w:sz w:val="24"/>
          <w:szCs w:val="20"/>
        </w:rPr>
      </w:pPr>
      <w:r>
        <w:rPr>
          <w:color w:val="000000"/>
          <w:kern w:val="0"/>
          <w:sz w:val="24"/>
        </w:rPr>
        <w:t>注：1</w:t>
      </w:r>
      <w:r>
        <w:rPr>
          <w:color w:val="000000"/>
          <w:sz w:val="24"/>
          <w:szCs w:val="20"/>
        </w:rPr>
        <w:t>.此表中，每包的报价应和《分项报价表》中的总价相一致。</w:t>
      </w:r>
    </w:p>
    <w:p>
      <w:pPr>
        <w:tabs>
          <w:tab w:val="left" w:pos="5580"/>
        </w:tabs>
        <w:ind w:firstLine="480" w:firstLineChars="200"/>
        <w:rPr>
          <w:color w:val="000000"/>
          <w:sz w:val="24"/>
          <w:szCs w:val="20"/>
        </w:rPr>
      </w:pPr>
      <w:r>
        <w:rPr>
          <w:color w:val="000000"/>
          <w:sz w:val="24"/>
          <w:szCs w:val="20"/>
        </w:rPr>
        <w:t>2.本表必须按包分别填写。</w:t>
      </w:r>
    </w:p>
    <w:p>
      <w:pPr>
        <w:tabs>
          <w:tab w:val="left" w:pos="5580"/>
        </w:tabs>
        <w:ind w:firstLine="480" w:firstLineChars="200"/>
        <w:rPr>
          <w:color w:val="000000"/>
          <w:sz w:val="24"/>
          <w:szCs w:val="20"/>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ind w:right="360" w:firstLine="360" w:firstLineChars="15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 xml:space="preserve">）：______________        </w:t>
      </w:r>
    </w:p>
    <w:p>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pPr>
        <w:widowControl/>
        <w:jc w:val="left"/>
        <w:rPr>
          <w:color w:val="000000"/>
          <w:sz w:val="24"/>
          <w:szCs w:val="20"/>
        </w:rPr>
      </w:pPr>
      <w:bookmarkStart w:id="789" w:name="_Toc226965832"/>
      <w:bookmarkStart w:id="790" w:name="_Toc305158827"/>
      <w:bookmarkStart w:id="791" w:name="_Toc226309803"/>
      <w:bookmarkStart w:id="792" w:name="_Toc150774763"/>
      <w:bookmarkStart w:id="793" w:name="_Toc142311060"/>
      <w:bookmarkStart w:id="794" w:name="_Toc195842924"/>
      <w:bookmarkStart w:id="795" w:name="_Toc150480796"/>
      <w:bookmarkStart w:id="796" w:name="_Toc265228397"/>
      <w:bookmarkStart w:id="797" w:name="_Toc226965749"/>
      <w:bookmarkStart w:id="798" w:name="_Toc226337255"/>
      <w:bookmarkStart w:id="799" w:name="_Toc127151558"/>
      <w:bookmarkStart w:id="800" w:name="_Toc305158901"/>
      <w:bookmarkStart w:id="801" w:name="_Toc264969249"/>
      <w:r>
        <w:rPr>
          <w:color w:val="000000"/>
          <w:sz w:val="24"/>
          <w:szCs w:val="20"/>
        </w:rPr>
        <w:br w:type="page"/>
      </w:r>
    </w:p>
    <w:p>
      <w:pPr>
        <w:tabs>
          <w:tab w:val="left" w:pos="360"/>
        </w:tabs>
        <w:snapToGrid w:val="0"/>
        <w:spacing w:line="360" w:lineRule="auto"/>
        <w:outlineLvl w:val="1"/>
        <w:rPr>
          <w:sz w:val="24"/>
        </w:rPr>
      </w:pPr>
      <w:r>
        <w:rPr>
          <w:sz w:val="24"/>
        </w:rPr>
        <w:t>8  分项报价表</w:t>
      </w:r>
      <w:bookmarkEnd w:id="789"/>
      <w:bookmarkEnd w:id="790"/>
      <w:bookmarkEnd w:id="791"/>
      <w:bookmarkEnd w:id="792"/>
      <w:bookmarkEnd w:id="793"/>
      <w:bookmarkEnd w:id="794"/>
      <w:bookmarkEnd w:id="795"/>
      <w:bookmarkEnd w:id="796"/>
      <w:bookmarkEnd w:id="797"/>
      <w:bookmarkEnd w:id="798"/>
      <w:bookmarkEnd w:id="799"/>
      <w:bookmarkEnd w:id="800"/>
      <w:bookmarkEnd w:id="801"/>
    </w:p>
    <w:p>
      <w:pPr>
        <w:spacing w:line="360" w:lineRule="exact"/>
        <w:jc w:val="center"/>
        <w:rPr>
          <w:b/>
          <w:color w:val="000000"/>
          <w:sz w:val="36"/>
          <w:szCs w:val="36"/>
        </w:rPr>
      </w:pPr>
      <w:r>
        <w:rPr>
          <w:rFonts w:hint="eastAsia"/>
          <w:b/>
          <w:color w:val="000000"/>
          <w:sz w:val="36"/>
          <w:szCs w:val="36"/>
        </w:rPr>
        <w:t>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 项目名称：_________报价单位：人民币元</w:t>
      </w:r>
    </w:p>
    <w:p>
      <w:pPr>
        <w:tabs>
          <w:tab w:val="left" w:pos="1800"/>
          <w:tab w:val="left" w:pos="5580"/>
        </w:tabs>
        <w:jc w:val="left"/>
        <w:rPr>
          <w:color w:val="000000"/>
          <w:sz w:val="24"/>
        </w:rPr>
      </w:pPr>
    </w:p>
    <w:tbl>
      <w:tblPr>
        <w:tblStyle w:val="45"/>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944"/>
        <w:gridCol w:w="1365"/>
        <w:gridCol w:w="1278"/>
        <w:gridCol w:w="1518"/>
        <w:gridCol w:w="1055"/>
        <w:gridCol w:w="518"/>
        <w:gridCol w:w="15"/>
        <w:gridCol w:w="1044"/>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94" w:hRule="atLeast"/>
          <w:jc w:val="center"/>
        </w:trPr>
        <w:tc>
          <w:tcPr>
            <w:tcW w:w="276" w:type="pct"/>
            <w:vAlign w:val="center"/>
          </w:tcPr>
          <w:p>
            <w:pPr>
              <w:adjustRightInd w:val="0"/>
              <w:snapToGrid w:val="0"/>
              <w:jc w:val="left"/>
              <w:rPr>
                <w:bCs/>
                <w:color w:val="000000"/>
                <w:sz w:val="24"/>
              </w:rPr>
            </w:pPr>
            <w:r>
              <w:rPr>
                <w:bCs/>
                <w:color w:val="000000"/>
                <w:sz w:val="24"/>
              </w:rPr>
              <w:t>序号</w:t>
            </w:r>
          </w:p>
        </w:tc>
        <w:tc>
          <w:tcPr>
            <w:tcW w:w="1050" w:type="pct"/>
            <w:vAlign w:val="center"/>
          </w:tcPr>
          <w:p>
            <w:pPr>
              <w:adjustRightInd w:val="0"/>
              <w:snapToGrid w:val="0"/>
              <w:jc w:val="left"/>
              <w:rPr>
                <w:bCs/>
                <w:color w:val="000000"/>
                <w:sz w:val="24"/>
              </w:rPr>
            </w:pPr>
            <w:r>
              <w:rPr>
                <w:bCs/>
                <w:color w:val="000000"/>
                <w:sz w:val="24"/>
              </w:rPr>
              <w:t>分项名称</w:t>
            </w:r>
          </w:p>
        </w:tc>
        <w:tc>
          <w:tcPr>
            <w:tcW w:w="737" w:type="pct"/>
            <w:vAlign w:val="center"/>
          </w:tcPr>
          <w:p>
            <w:pPr>
              <w:adjustRightInd w:val="0"/>
              <w:snapToGrid w:val="0"/>
              <w:jc w:val="left"/>
              <w:rPr>
                <w:bCs/>
                <w:color w:val="000000"/>
                <w:sz w:val="24"/>
              </w:rPr>
            </w:pPr>
            <w:r>
              <w:rPr>
                <w:bCs/>
                <w:color w:val="000000"/>
                <w:sz w:val="24"/>
              </w:rPr>
              <w:t>制造商/</w:t>
            </w:r>
          </w:p>
          <w:p>
            <w:pPr>
              <w:adjustRightInd w:val="0"/>
              <w:snapToGrid w:val="0"/>
              <w:jc w:val="left"/>
              <w:rPr>
                <w:bCs/>
                <w:color w:val="000000"/>
                <w:sz w:val="24"/>
              </w:rPr>
            </w:pPr>
            <w:r>
              <w:rPr>
                <w:bCs/>
                <w:color w:val="000000"/>
                <w:sz w:val="24"/>
              </w:rPr>
              <w:t>生产厂家</w:t>
            </w:r>
          </w:p>
        </w:tc>
        <w:tc>
          <w:tcPr>
            <w:tcW w:w="690" w:type="pct"/>
            <w:vAlign w:val="center"/>
          </w:tcPr>
          <w:p>
            <w:pPr>
              <w:adjustRightInd w:val="0"/>
              <w:snapToGrid w:val="0"/>
              <w:jc w:val="left"/>
              <w:rPr>
                <w:bCs/>
                <w:color w:val="000000"/>
                <w:sz w:val="24"/>
              </w:rPr>
            </w:pPr>
            <w:r>
              <w:rPr>
                <w:bCs/>
                <w:color w:val="000000"/>
                <w:sz w:val="24"/>
              </w:rPr>
              <w:t>产地</w:t>
            </w:r>
          </w:p>
        </w:tc>
        <w:tc>
          <w:tcPr>
            <w:tcW w:w="820" w:type="pct"/>
            <w:vAlign w:val="center"/>
          </w:tcPr>
          <w:p>
            <w:pPr>
              <w:adjustRightInd w:val="0"/>
              <w:snapToGrid w:val="0"/>
              <w:jc w:val="left"/>
              <w:rPr>
                <w:bCs/>
                <w:color w:val="000000"/>
                <w:sz w:val="24"/>
              </w:rPr>
            </w:pPr>
            <w:r>
              <w:rPr>
                <w:bCs/>
                <w:color w:val="000000"/>
                <w:sz w:val="24"/>
              </w:rPr>
              <w:t>品牌、规格、型号</w:t>
            </w:r>
          </w:p>
        </w:tc>
        <w:tc>
          <w:tcPr>
            <w:tcW w:w="570" w:type="pct"/>
            <w:vAlign w:val="center"/>
          </w:tcPr>
          <w:p>
            <w:pPr>
              <w:adjustRightInd w:val="0"/>
              <w:snapToGrid w:val="0"/>
              <w:jc w:val="left"/>
              <w:rPr>
                <w:bCs/>
                <w:color w:val="000000"/>
                <w:sz w:val="24"/>
              </w:rPr>
            </w:pPr>
            <w:r>
              <w:rPr>
                <w:bCs/>
                <w:color w:val="000000"/>
                <w:sz w:val="24"/>
              </w:rPr>
              <w:t>单价（元）</w:t>
            </w:r>
          </w:p>
        </w:tc>
        <w:tc>
          <w:tcPr>
            <w:tcW w:w="280" w:type="pct"/>
            <w:vAlign w:val="center"/>
          </w:tcPr>
          <w:p>
            <w:pPr>
              <w:adjustRightInd w:val="0"/>
              <w:snapToGrid w:val="0"/>
              <w:jc w:val="left"/>
              <w:rPr>
                <w:bCs/>
                <w:color w:val="000000"/>
                <w:sz w:val="24"/>
              </w:rPr>
            </w:pPr>
            <w:r>
              <w:rPr>
                <w:bCs/>
                <w:color w:val="000000"/>
                <w:sz w:val="24"/>
              </w:rPr>
              <w:t>数量</w:t>
            </w:r>
          </w:p>
        </w:tc>
        <w:tc>
          <w:tcPr>
            <w:tcW w:w="572" w:type="pct"/>
            <w:gridSpan w:val="2"/>
            <w:vAlign w:val="center"/>
          </w:tcPr>
          <w:p>
            <w:pPr>
              <w:adjustRightInd w:val="0"/>
              <w:snapToGrid w:val="0"/>
              <w:jc w:val="left"/>
              <w:rPr>
                <w:bCs/>
                <w:color w:val="000000"/>
                <w:sz w:val="24"/>
              </w:rPr>
            </w:pPr>
            <w:r>
              <w:rPr>
                <w:bCs/>
                <w:color w:val="000000"/>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1</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2</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3</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4</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1" w:type="pct"/>
            <w:gridSpan w:val="8"/>
          </w:tcPr>
          <w:p>
            <w:pPr>
              <w:jc w:val="right"/>
              <w:rPr>
                <w:bCs/>
                <w:sz w:val="24"/>
              </w:rPr>
            </w:pPr>
            <w:r>
              <w:rPr>
                <w:bCs/>
                <w:sz w:val="24"/>
              </w:rPr>
              <w:t>总价（元）</w:t>
            </w:r>
          </w:p>
        </w:tc>
        <w:tc>
          <w:tcPr>
            <w:tcW w:w="569" w:type="pct"/>
            <w:gridSpan w:val="2"/>
            <w:vAlign w:val="center"/>
          </w:tcPr>
          <w:p>
            <w:pPr>
              <w:adjustRightInd w:val="0"/>
              <w:snapToGrid w:val="0"/>
              <w:jc w:val="left"/>
              <w:rPr>
                <w:bCs/>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pPr>
        <w:tabs>
          <w:tab w:val="left" w:pos="1800"/>
          <w:tab w:val="left" w:pos="5580"/>
        </w:tabs>
        <w:ind w:firstLine="480" w:firstLineChars="200"/>
        <w:jc w:val="left"/>
        <w:rPr>
          <w:color w:val="000000"/>
          <w:sz w:val="24"/>
        </w:rPr>
      </w:pPr>
      <w:r>
        <w:rPr>
          <w:color w:val="000000"/>
          <w:sz w:val="24"/>
        </w:rPr>
        <w:t>3.上述各项的详细规格（如有），可另页描述。</w:t>
      </w: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rPr>
          <w:color w:val="000000"/>
          <w:sz w:val="24"/>
          <w:szCs w:val="20"/>
        </w:rPr>
      </w:pPr>
      <w:r>
        <w:rPr>
          <w:color w:val="000000"/>
          <w:sz w:val="24"/>
          <w:szCs w:val="20"/>
        </w:rPr>
        <w:t xml:space="preserve">日期：____年____月____日  </w:t>
      </w:r>
    </w:p>
    <w:p>
      <w:pPr>
        <w:rPr>
          <w:color w:val="000000"/>
          <w:sz w:val="24"/>
          <w:szCs w:val="20"/>
        </w:rPr>
      </w:pPr>
      <w:r>
        <w:rPr>
          <w:color w:val="000000"/>
          <w:sz w:val="24"/>
          <w:szCs w:val="20"/>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宋体" w:hAnsi="宋体"/>
          <w:color w:val="000000"/>
          <w:sz w:val="24"/>
          <w:szCs w:val="20"/>
        </w:rPr>
      </w:pPr>
      <w:r>
        <w:rPr>
          <w:rFonts w:hint="eastAsia" w:ascii="宋体" w:hAnsi="宋体"/>
          <w:color w:val="000000"/>
          <w:sz w:val="24"/>
          <w:szCs w:val="20"/>
          <w:lang w:val="en-US" w:eastAsia="zh-CN"/>
        </w:rPr>
        <w:t>9</w:t>
      </w:r>
      <w:r>
        <w:rPr>
          <w:rFonts w:hint="eastAsia" w:ascii="宋体" w:hAnsi="宋体"/>
          <w:color w:val="000000"/>
          <w:sz w:val="24"/>
          <w:szCs w:val="20"/>
        </w:rPr>
        <w:t xml:space="preserve">  投标情况明细表</w:t>
      </w:r>
    </w:p>
    <w:p>
      <w:pPr>
        <w:jc w:val="center"/>
        <w:rPr>
          <w:rFonts w:hint="eastAsia"/>
          <w:b/>
          <w:bCs/>
          <w:sz w:val="36"/>
          <w:szCs w:val="44"/>
          <w:lang w:val="en-US" w:eastAsia="zh-CN"/>
        </w:rPr>
      </w:pPr>
    </w:p>
    <w:p>
      <w:pPr>
        <w:jc w:val="center"/>
        <w:rPr>
          <w:b/>
          <w:bCs/>
          <w:sz w:val="36"/>
          <w:szCs w:val="44"/>
        </w:rPr>
      </w:pPr>
      <w:r>
        <w:rPr>
          <w:rFonts w:hint="eastAsia"/>
          <w:b/>
          <w:bCs/>
          <w:sz w:val="36"/>
          <w:szCs w:val="44"/>
          <w:lang w:val="en-US" w:eastAsia="zh-CN"/>
        </w:rPr>
        <w:t>投标</w:t>
      </w:r>
      <w:r>
        <w:rPr>
          <w:rFonts w:hint="eastAsia"/>
          <w:b/>
          <w:bCs/>
          <w:sz w:val="36"/>
          <w:szCs w:val="44"/>
        </w:rPr>
        <w:t>情况明细表</w:t>
      </w:r>
    </w:p>
    <w:p>
      <w:pPr>
        <w:pStyle w:val="38"/>
      </w:pPr>
    </w:p>
    <w:p>
      <w:pPr>
        <w:pStyle w:val="23"/>
        <w:rPr>
          <w:rFonts w:hint="default" w:hAnsi="宋体"/>
          <w:sz w:val="24"/>
        </w:rPr>
      </w:pPr>
      <w:r>
        <w:rPr>
          <w:rFonts w:hint="eastAsia" w:hAnsi="宋体"/>
          <w:sz w:val="24"/>
          <w:lang w:val="en-US" w:eastAsia="zh-CN"/>
        </w:rPr>
        <w:t>供应商</w:t>
      </w:r>
      <w:r>
        <w:rPr>
          <w:rFonts w:hAnsi="宋体"/>
          <w:sz w:val="24"/>
        </w:rPr>
        <w:t>名称:______招标编号:__________包号:_____报价单位：人民币元</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
        <w:gridCol w:w="361"/>
        <w:gridCol w:w="398"/>
        <w:gridCol w:w="506"/>
        <w:gridCol w:w="361"/>
        <w:gridCol w:w="361"/>
        <w:gridCol w:w="361"/>
        <w:gridCol w:w="398"/>
        <w:gridCol w:w="434"/>
        <w:gridCol w:w="398"/>
        <w:gridCol w:w="398"/>
        <w:gridCol w:w="361"/>
        <w:gridCol w:w="361"/>
        <w:gridCol w:w="361"/>
        <w:gridCol w:w="361"/>
        <w:gridCol w:w="470"/>
        <w:gridCol w:w="470"/>
        <w:gridCol w:w="543"/>
        <w:gridCol w:w="543"/>
        <w:gridCol w:w="361"/>
        <w:gridCol w:w="361"/>
        <w:gridCol w:w="361"/>
        <w:gridCol w:w="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供应商名称</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企业类型</w:t>
            </w:r>
          </w:p>
        </w:tc>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供应商地址</w:t>
            </w:r>
          </w:p>
        </w:tc>
        <w:tc>
          <w:tcPr>
            <w:tcW w:w="272"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统一社会信用代码</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商品名称</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商品型号</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商品品牌</w:t>
            </w:r>
          </w:p>
        </w:tc>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制造商名称</w:t>
            </w:r>
          </w:p>
        </w:tc>
        <w:tc>
          <w:tcPr>
            <w:tcW w:w="23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制造商信用码</w:t>
            </w:r>
          </w:p>
        </w:tc>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制造商规模</w:t>
            </w:r>
          </w:p>
        </w:tc>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制造商地区</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产品类型</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产品国别</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采购数量</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计量单位</w:t>
            </w:r>
          </w:p>
        </w:tc>
        <w:tc>
          <w:tcPr>
            <w:tcW w:w="253"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分项单价（元）</w:t>
            </w:r>
          </w:p>
        </w:tc>
        <w:tc>
          <w:tcPr>
            <w:tcW w:w="253"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分项总价（元）</w:t>
            </w:r>
          </w:p>
        </w:tc>
        <w:tc>
          <w:tcPr>
            <w:tcW w:w="292"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（车辆类）车辆属性</w:t>
            </w:r>
          </w:p>
        </w:tc>
        <w:tc>
          <w:tcPr>
            <w:tcW w:w="292"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（服务类）服务类型</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产品属性</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特殊性质</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商品要求</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214" w:type="pct"/>
            <w:shd w:val="clear" w:color="auto" w:fill="auto"/>
            <w:noWrap/>
            <w:vAlign w:val="center"/>
          </w:tcPr>
          <w:p>
            <w:pPr>
              <w:widowControl/>
              <w:jc w:val="center"/>
              <w:rPr>
                <w:rFonts w:ascii="宋体" w:hAnsi="宋体" w:cs="宋体"/>
                <w:kern w:val="0"/>
                <w:sz w:val="24"/>
              </w:rPr>
            </w:pPr>
          </w:p>
        </w:tc>
        <w:tc>
          <w:tcPr>
            <w:tcW w:w="272"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214" w:type="pct"/>
            <w:shd w:val="clear" w:color="auto" w:fill="auto"/>
            <w:noWrap/>
            <w:vAlign w:val="center"/>
          </w:tcPr>
          <w:p>
            <w:pPr>
              <w:widowControl/>
              <w:jc w:val="center"/>
              <w:rPr>
                <w:rFonts w:ascii="宋体" w:hAnsi="宋体" w:cs="宋体"/>
                <w:kern w:val="0"/>
                <w:sz w:val="24"/>
              </w:rPr>
            </w:pPr>
          </w:p>
        </w:tc>
        <w:tc>
          <w:tcPr>
            <w:tcW w:w="234" w:type="pct"/>
            <w:shd w:val="clear" w:color="auto" w:fill="auto"/>
            <w:noWrap/>
            <w:vAlign w:val="center"/>
          </w:tcPr>
          <w:p>
            <w:pPr>
              <w:widowControl/>
              <w:jc w:val="center"/>
              <w:rPr>
                <w:rFonts w:ascii="宋体" w:hAnsi="宋体" w:cs="宋体"/>
                <w:kern w:val="0"/>
                <w:sz w:val="24"/>
              </w:rPr>
            </w:pPr>
          </w:p>
        </w:tc>
        <w:tc>
          <w:tcPr>
            <w:tcW w:w="214" w:type="pct"/>
            <w:shd w:val="clear" w:color="auto" w:fill="auto"/>
            <w:noWrap/>
            <w:vAlign w:val="center"/>
          </w:tcPr>
          <w:p>
            <w:pPr>
              <w:widowControl/>
              <w:jc w:val="center"/>
              <w:rPr>
                <w:rFonts w:ascii="宋体" w:hAnsi="宋体" w:cs="宋体"/>
                <w:kern w:val="0"/>
                <w:sz w:val="24"/>
              </w:rPr>
            </w:pPr>
          </w:p>
        </w:tc>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253" w:type="pct"/>
            <w:shd w:val="clear" w:color="auto" w:fill="auto"/>
            <w:noWrap/>
            <w:vAlign w:val="center"/>
          </w:tcPr>
          <w:p>
            <w:pPr>
              <w:widowControl/>
              <w:jc w:val="center"/>
              <w:rPr>
                <w:rFonts w:ascii="宋体" w:hAnsi="宋体" w:cs="宋体"/>
                <w:kern w:val="0"/>
                <w:sz w:val="24"/>
              </w:rPr>
            </w:pPr>
          </w:p>
        </w:tc>
        <w:tc>
          <w:tcPr>
            <w:tcW w:w="253" w:type="pct"/>
            <w:shd w:val="clear" w:color="auto" w:fill="auto"/>
            <w:noWrap/>
            <w:vAlign w:val="center"/>
          </w:tcPr>
          <w:p>
            <w:pPr>
              <w:widowControl/>
              <w:jc w:val="center"/>
              <w:rPr>
                <w:rFonts w:ascii="宋体" w:hAnsi="宋体" w:cs="宋体"/>
                <w:kern w:val="0"/>
                <w:sz w:val="24"/>
              </w:rPr>
            </w:pPr>
          </w:p>
        </w:tc>
        <w:tc>
          <w:tcPr>
            <w:tcW w:w="292" w:type="pct"/>
            <w:shd w:val="clear" w:color="auto" w:fill="auto"/>
            <w:noWrap/>
            <w:vAlign w:val="center"/>
          </w:tcPr>
          <w:p>
            <w:pPr>
              <w:widowControl/>
              <w:jc w:val="center"/>
              <w:rPr>
                <w:rFonts w:ascii="宋体" w:hAnsi="宋体" w:cs="宋体"/>
                <w:kern w:val="0"/>
                <w:sz w:val="24"/>
              </w:rPr>
            </w:pPr>
          </w:p>
        </w:tc>
        <w:tc>
          <w:tcPr>
            <w:tcW w:w="292"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r>
    </w:tbl>
    <w:p>
      <w:pPr>
        <w:pStyle w:val="5"/>
        <w:rPr>
          <w:rFonts w:hAnsi="宋体"/>
        </w:rPr>
      </w:pPr>
    </w:p>
    <w:p>
      <w:pPr>
        <w:autoSpaceDE w:val="0"/>
        <w:autoSpaceDN w:val="0"/>
        <w:adjustRightInd w:val="0"/>
        <w:snapToGrid w:val="0"/>
        <w:spacing w:before="25" w:after="25" w:line="360" w:lineRule="auto"/>
        <w:rPr>
          <w:rFonts w:ascii="宋体" w:hAnsi="宋体"/>
          <w:color w:val="000000"/>
          <w:sz w:val="24"/>
        </w:rPr>
      </w:pPr>
    </w:p>
    <w:p>
      <w:pPr>
        <w:autoSpaceDE w:val="0"/>
        <w:autoSpaceDN w:val="0"/>
        <w:adjustRightInd w:val="0"/>
        <w:snapToGrid w:val="0"/>
        <w:spacing w:before="25" w:after="25" w:line="360" w:lineRule="auto"/>
        <w:rPr>
          <w:rFonts w:ascii="宋体" w:hAnsi="宋体"/>
          <w:color w:val="000000"/>
          <w:sz w:val="24"/>
        </w:rPr>
      </w:pPr>
      <w:r>
        <w:rPr>
          <w:rFonts w:ascii="宋体" w:hAnsi="宋体"/>
          <w:color w:val="000000"/>
          <w:sz w:val="24"/>
        </w:rPr>
        <w:t xml:space="preserve"> </w:t>
      </w:r>
    </w:p>
    <w:p>
      <w:pPr>
        <w:pStyle w:val="23"/>
        <w:spacing w:line="360" w:lineRule="auto"/>
        <w:rPr>
          <w:rFonts w:hAnsi="宋体"/>
          <w:b/>
          <w:sz w:val="24"/>
          <w:szCs w:val="24"/>
        </w:rPr>
      </w:pPr>
      <w:r>
        <w:rPr>
          <w:rFonts w:hAnsi="宋体"/>
          <w:b/>
          <w:sz w:val="24"/>
          <w:szCs w:val="24"/>
        </w:rPr>
        <w:t>注:</w:t>
      </w:r>
    </w:p>
    <w:p>
      <w:pPr>
        <w:pStyle w:val="23"/>
        <w:spacing w:line="360" w:lineRule="auto"/>
        <w:rPr>
          <w:rFonts w:hAnsi="宋体"/>
          <w:b/>
          <w:sz w:val="24"/>
          <w:szCs w:val="24"/>
        </w:rPr>
      </w:pPr>
      <w:r>
        <w:rPr>
          <w:rFonts w:hAnsi="宋体"/>
          <w:b/>
          <w:sz w:val="24"/>
          <w:szCs w:val="24"/>
        </w:rPr>
        <w:t>1.上述各项的投标设备情况表，可另页描述。</w:t>
      </w:r>
    </w:p>
    <w:p>
      <w:pPr>
        <w:pStyle w:val="23"/>
        <w:spacing w:line="360" w:lineRule="auto"/>
        <w:rPr>
          <w:rFonts w:hint="default" w:hAnsi="宋体"/>
          <w:b/>
          <w:sz w:val="24"/>
          <w:szCs w:val="24"/>
        </w:rPr>
      </w:pPr>
      <w:r>
        <w:rPr>
          <w:rFonts w:hAnsi="宋体"/>
          <w:b/>
          <w:sz w:val="24"/>
          <w:szCs w:val="24"/>
        </w:rPr>
        <w:t>2.表中产品类型是指所投产品为进口产品还是国内产品；不涉及请打/。</w:t>
      </w:r>
    </w:p>
    <w:p>
      <w:pPr>
        <w:pStyle w:val="23"/>
        <w:spacing w:line="360" w:lineRule="auto"/>
        <w:rPr>
          <w:rFonts w:hint="default" w:hAnsi="宋体"/>
          <w:b/>
          <w:sz w:val="24"/>
          <w:szCs w:val="24"/>
        </w:rPr>
      </w:pPr>
      <w:r>
        <w:rPr>
          <w:rFonts w:hAnsi="宋体"/>
          <w:b/>
          <w:sz w:val="24"/>
          <w:szCs w:val="24"/>
        </w:rPr>
        <w:t>3.上述各设备的分项总价之和应为投标总价。</w:t>
      </w:r>
    </w:p>
    <w:p>
      <w:pPr>
        <w:pStyle w:val="23"/>
        <w:spacing w:line="360" w:lineRule="auto"/>
        <w:rPr>
          <w:rFonts w:hint="default" w:hAnsi="宋体"/>
          <w:b/>
          <w:sz w:val="24"/>
          <w:szCs w:val="24"/>
        </w:rPr>
      </w:pPr>
      <w:r>
        <w:rPr>
          <w:rFonts w:hAnsi="宋体"/>
          <w:b/>
          <w:sz w:val="24"/>
          <w:szCs w:val="24"/>
        </w:rPr>
        <w:t>4. 供应商即指本项目投标人；表中企业类型是指：大型企业、中型企业、小微企业。</w:t>
      </w:r>
    </w:p>
    <w:p>
      <w:pPr>
        <w:pStyle w:val="2"/>
        <w:rPr>
          <w:lang w:val="zh-CN"/>
        </w:rPr>
      </w:pPr>
      <w:r>
        <w:rPr>
          <w:rFonts w:hAnsi="宋体"/>
          <w:b/>
          <w:sz w:val="24"/>
          <w:szCs w:val="24"/>
          <w:u w:val="double"/>
        </w:rPr>
        <w:t>5.本表</w:t>
      </w:r>
      <w:r>
        <w:rPr>
          <w:rFonts w:hint="eastAsia" w:hAnsi="宋体"/>
          <w:b/>
          <w:sz w:val="24"/>
          <w:szCs w:val="24"/>
          <w:u w:val="double"/>
          <w:lang w:val="en-US" w:eastAsia="zh-CN"/>
        </w:rPr>
        <w:t>需</w:t>
      </w:r>
      <w:r>
        <w:rPr>
          <w:rFonts w:hAnsi="宋体"/>
          <w:b/>
          <w:sz w:val="24"/>
          <w:szCs w:val="24"/>
          <w:u w:val="double"/>
        </w:rPr>
        <w:t>单独提供excel形式的电子版，随</w:t>
      </w:r>
      <w:r>
        <w:rPr>
          <w:rFonts w:hint="eastAsia" w:hAnsi="宋体"/>
          <w:b/>
          <w:sz w:val="24"/>
          <w:szCs w:val="24"/>
          <w:u w:val="double"/>
          <w:lang w:val="en-US" w:eastAsia="zh-CN"/>
        </w:rPr>
        <w:t>响应</w:t>
      </w:r>
      <w:r>
        <w:rPr>
          <w:rFonts w:hAnsi="宋体"/>
          <w:b/>
          <w:sz w:val="24"/>
          <w:szCs w:val="24"/>
          <w:u w:val="double"/>
        </w:rPr>
        <w:t>文件电子版一同递交。</w:t>
      </w:r>
    </w:p>
    <w:p>
      <w:pPr>
        <w:tabs>
          <w:tab w:val="left" w:pos="360"/>
        </w:tabs>
        <w:snapToGrid w:val="0"/>
        <w:spacing w:line="360" w:lineRule="auto"/>
        <w:outlineLvl w:val="1"/>
        <w:rPr>
          <w:color w:val="000000"/>
          <w:sz w:val="24"/>
          <w:szCs w:val="20"/>
        </w:rPr>
      </w:pPr>
      <w:bookmarkStart w:id="802" w:name="_Toc127151562"/>
      <w:bookmarkStart w:id="803" w:name="_Toc226309806"/>
      <w:bookmarkStart w:id="804" w:name="_Toc150774765"/>
      <w:bookmarkStart w:id="805" w:name="_Toc150480798"/>
      <w:bookmarkStart w:id="806" w:name="_Toc226965835"/>
      <w:bookmarkStart w:id="807" w:name="_Toc305158904"/>
      <w:bookmarkStart w:id="808" w:name="_Toc226965752"/>
      <w:bookmarkStart w:id="809" w:name="_Toc226337258"/>
      <w:bookmarkStart w:id="810" w:name="_Toc265228400"/>
      <w:bookmarkStart w:id="811" w:name="_Toc264969252"/>
      <w:bookmarkStart w:id="812" w:name="_Toc195842927"/>
      <w:bookmarkStart w:id="813" w:name="_Toc305158830"/>
      <w:bookmarkStart w:id="814" w:name="_Toc142311062"/>
      <w:bookmarkStart w:id="815" w:name="_Toc305158903"/>
      <w:bookmarkStart w:id="816" w:name="_Toc195842926"/>
      <w:bookmarkStart w:id="817" w:name="_Toc127151561"/>
      <w:bookmarkStart w:id="818" w:name="_Toc226965751"/>
      <w:bookmarkStart w:id="819" w:name="_Toc226965834"/>
      <w:bookmarkStart w:id="820" w:name="_Toc142311061"/>
      <w:bookmarkStart w:id="821" w:name="_Toc150480797"/>
      <w:bookmarkStart w:id="822" w:name="_Toc226309805"/>
      <w:bookmarkStart w:id="823" w:name="_Toc150774764"/>
      <w:bookmarkStart w:id="824" w:name="_Toc305158829"/>
      <w:bookmarkStart w:id="825" w:name="_Toc265228399"/>
      <w:bookmarkStart w:id="826" w:name="_Toc264969251"/>
      <w:bookmarkStart w:id="827" w:name="_Toc226337257"/>
      <w:r>
        <w:rPr>
          <w:color w:val="000000"/>
          <w:sz w:val="24"/>
          <w:szCs w:val="20"/>
        </w:rPr>
        <w:br w:type="page"/>
      </w:r>
      <w:r>
        <w:rPr>
          <w:rFonts w:hint="eastAsia"/>
          <w:sz w:val="24"/>
          <w:lang w:val="en-US" w:eastAsia="zh-CN"/>
        </w:rPr>
        <w:t>10</w:t>
      </w:r>
      <w:r>
        <w:rPr>
          <w:sz w:val="24"/>
        </w:rPr>
        <w:t xml:space="preserve">  合同条款偏离表</w:t>
      </w:r>
      <w:bookmarkEnd w:id="802"/>
      <w:bookmarkEnd w:id="803"/>
      <w:bookmarkEnd w:id="804"/>
      <w:bookmarkEnd w:id="805"/>
      <w:bookmarkEnd w:id="806"/>
      <w:bookmarkEnd w:id="807"/>
      <w:bookmarkEnd w:id="808"/>
      <w:bookmarkEnd w:id="809"/>
      <w:bookmarkEnd w:id="810"/>
      <w:bookmarkEnd w:id="811"/>
      <w:bookmarkEnd w:id="812"/>
      <w:bookmarkEnd w:id="813"/>
      <w:bookmarkEnd w:id="814"/>
    </w:p>
    <w:p>
      <w:pPr>
        <w:spacing w:line="360" w:lineRule="auto"/>
        <w:rPr>
          <w:color w:val="000000"/>
          <w:sz w:val="24"/>
          <w:szCs w:val="20"/>
        </w:rPr>
      </w:pPr>
    </w:p>
    <w:p>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90"/>
        <w:gridCol w:w="1980"/>
        <w:gridCol w:w="1981"/>
        <w:gridCol w:w="242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b/>
                <w:color w:val="000000"/>
                <w:sz w:val="24"/>
              </w:rPr>
            </w:pPr>
            <w:r>
              <w:rPr>
                <w:rFonts w:hint="eastAsia"/>
                <w:b/>
                <w:color w:val="000000"/>
                <w:sz w:val="24"/>
              </w:rPr>
              <w:t>对本项目合同条款的偏离情况（请进行勾选）：</w:t>
            </w:r>
          </w:p>
          <w:p>
            <w:pPr>
              <w:adjustRightInd w:val="0"/>
              <w:snapToGrid w:val="0"/>
              <w:jc w:val="left"/>
              <w:rPr>
                <w:b/>
                <w:color w:val="000000"/>
                <w:sz w:val="24"/>
              </w:rPr>
            </w:pPr>
            <w:r>
              <w:rPr>
                <w:b/>
                <w:color w:val="000000"/>
                <w:sz w:val="24"/>
              </w:rPr>
              <w:t>□无偏离</w:t>
            </w:r>
            <w:r>
              <w:rPr>
                <w:color w:val="000000"/>
                <w:sz w:val="24"/>
              </w:rPr>
              <w:t>（</w:t>
            </w:r>
            <w:r>
              <w:rPr>
                <w:color w:val="000000"/>
                <w:sz w:val="24"/>
                <w:szCs w:val="21"/>
              </w:rPr>
              <w:t>如无偏离，仅勾选无偏离即可</w:t>
            </w:r>
            <w:r>
              <w:rPr>
                <w:color w:val="000000"/>
                <w:sz w:val="24"/>
              </w:rPr>
              <w:t>）</w:t>
            </w:r>
          </w:p>
          <w:p>
            <w:pPr>
              <w:adjustRightInd w:val="0"/>
              <w:snapToGrid w:val="0"/>
              <w:jc w:val="left"/>
              <w:rPr>
                <w:color w:val="000000"/>
                <w:sz w:val="24"/>
              </w:rPr>
            </w:pP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r>
              <w:rPr>
                <w:color w:val="000000"/>
                <w:sz w:val="24"/>
              </w:rPr>
              <w:t>序号</w:t>
            </w:r>
          </w:p>
        </w:tc>
        <w:tc>
          <w:tcPr>
            <w:tcW w:w="1301" w:type="dxa"/>
            <w:vAlign w:val="center"/>
          </w:tcPr>
          <w:p>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pPr>
              <w:adjustRightInd w:val="0"/>
              <w:snapToGrid w:val="0"/>
              <w:jc w:val="center"/>
              <w:rPr>
                <w:color w:val="000000"/>
                <w:sz w:val="24"/>
              </w:rPr>
            </w:pPr>
            <w:r>
              <w:rPr>
                <w:color w:val="000000"/>
                <w:sz w:val="24"/>
              </w:rPr>
              <w:t>响应文件内容</w:t>
            </w:r>
          </w:p>
        </w:tc>
        <w:tc>
          <w:tcPr>
            <w:tcW w:w="2458" w:type="dxa"/>
            <w:vAlign w:val="center"/>
          </w:tcPr>
          <w:p>
            <w:pPr>
              <w:adjustRightInd w:val="0"/>
              <w:snapToGrid w:val="0"/>
              <w:jc w:val="center"/>
              <w:rPr>
                <w:color w:val="000000"/>
                <w:sz w:val="24"/>
              </w:rPr>
            </w:pPr>
            <w:r>
              <w:rPr>
                <w:color w:val="000000"/>
                <w:sz w:val="24"/>
              </w:rPr>
              <w:t>偏离情况</w:t>
            </w:r>
          </w:p>
          <w:p>
            <w:pPr>
              <w:adjustRightInd w:val="0"/>
              <w:snapToGrid w:val="0"/>
              <w:jc w:val="center"/>
              <w:rPr>
                <w:color w:val="000000"/>
                <w:sz w:val="24"/>
              </w:rPr>
            </w:pPr>
            <w:r>
              <w:rPr>
                <w:color w:val="000000"/>
                <w:sz w:val="24"/>
              </w:rPr>
              <w:t>（据实填写）</w:t>
            </w:r>
          </w:p>
        </w:tc>
        <w:tc>
          <w:tcPr>
            <w:tcW w:w="788"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r>
        <w:rPr>
          <w:rFonts w:hint="eastAsia"/>
          <w:color w:val="000000"/>
          <w:sz w:val="24"/>
        </w:rPr>
        <w:t>注：</w:t>
      </w:r>
    </w:p>
    <w:p>
      <w:pPr>
        <w:tabs>
          <w:tab w:val="left" w:pos="1800"/>
          <w:tab w:val="left" w:pos="5580"/>
        </w:tabs>
        <w:jc w:val="left"/>
        <w:rPr>
          <w:rFonts w:hint="eastAsia" w:ascii="宋体" w:hAnsi="宋体" w:eastAsia="宋体" w:cs="宋体"/>
          <w:sz w:val="24"/>
        </w:rPr>
      </w:pPr>
      <w:r>
        <w:rPr>
          <w:rFonts w:hint="eastAsia" w:ascii="宋体" w:hAnsi="宋体" w:eastAsia="宋体" w:cs="宋体"/>
          <w:color w:val="000000"/>
          <w:sz w:val="24"/>
        </w:rPr>
        <w:t xml:space="preserve">1. </w:t>
      </w:r>
      <w:r>
        <w:rPr>
          <w:rFonts w:hint="eastAsia" w:ascii="宋体" w:hAnsi="宋体" w:eastAsia="宋体" w:cs="宋体"/>
          <w:sz w:val="24"/>
        </w:rPr>
        <w:t>对合同条款中的所有要求，除本表所列明的所有偏离外，均视作供应商已对之理解和响应。</w:t>
      </w:r>
    </w:p>
    <w:p>
      <w:pPr>
        <w:tabs>
          <w:tab w:val="left" w:pos="1800"/>
          <w:tab w:val="left" w:pos="5580"/>
        </w:tabs>
        <w:jc w:val="left"/>
        <w:rPr>
          <w:rFonts w:hint="eastAsia" w:ascii="宋体" w:hAnsi="宋体" w:eastAsia="宋体" w:cs="宋体"/>
          <w:color w:val="000000"/>
          <w:sz w:val="24"/>
        </w:rPr>
      </w:pPr>
      <w:r>
        <w:rPr>
          <w:rFonts w:hint="eastAsia" w:ascii="宋体" w:hAnsi="宋体" w:eastAsia="宋体" w:cs="宋体"/>
          <w:sz w:val="24"/>
        </w:rPr>
        <w:t>2. “偏离情况”列应</w:t>
      </w:r>
      <w:r>
        <w:rPr>
          <w:rFonts w:hint="eastAsia" w:ascii="宋体" w:hAnsi="宋体" w:eastAsia="宋体" w:cs="宋体"/>
          <w:color w:val="000000"/>
          <w:sz w:val="24"/>
        </w:rPr>
        <w:t>据实</w:t>
      </w:r>
      <w:r>
        <w:rPr>
          <w:rFonts w:hint="eastAsia" w:ascii="宋体" w:hAnsi="宋体" w:eastAsia="宋体" w:cs="宋体"/>
          <w:sz w:val="24"/>
        </w:rPr>
        <w:t>填写“正偏离”或“负偏离”。</w:t>
      </w:r>
    </w:p>
    <w:p>
      <w:pPr>
        <w:spacing w:line="360" w:lineRule="auto"/>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pPr>
        <w:tabs>
          <w:tab w:val="left" w:pos="360"/>
        </w:tabs>
        <w:snapToGrid w:val="0"/>
        <w:spacing w:line="360" w:lineRule="auto"/>
        <w:outlineLvl w:val="1"/>
        <w:rPr>
          <w:color w:val="000000"/>
          <w:sz w:val="24"/>
          <w:szCs w:val="20"/>
        </w:rPr>
      </w:pPr>
      <w:r>
        <w:rPr>
          <w:color w:val="000000"/>
          <w:sz w:val="24"/>
          <w:szCs w:val="20"/>
        </w:rPr>
        <w:br w:type="page"/>
      </w:r>
      <w:r>
        <w:rPr>
          <w:sz w:val="24"/>
        </w:rPr>
        <w:t>1</w:t>
      </w:r>
      <w:r>
        <w:rPr>
          <w:rFonts w:hint="eastAsia"/>
          <w:sz w:val="24"/>
          <w:lang w:val="en-US" w:eastAsia="zh-CN"/>
        </w:rPr>
        <w:t>1</w:t>
      </w:r>
      <w:r>
        <w:rPr>
          <w:sz w:val="24"/>
        </w:rPr>
        <w:t xml:space="preserve">  </w:t>
      </w:r>
      <w:bookmarkEnd w:id="815"/>
      <w:bookmarkEnd w:id="816"/>
      <w:bookmarkEnd w:id="817"/>
      <w:bookmarkEnd w:id="818"/>
      <w:bookmarkEnd w:id="819"/>
      <w:bookmarkEnd w:id="820"/>
      <w:bookmarkEnd w:id="821"/>
      <w:bookmarkEnd w:id="822"/>
      <w:bookmarkEnd w:id="823"/>
      <w:bookmarkEnd w:id="824"/>
      <w:bookmarkEnd w:id="825"/>
      <w:bookmarkEnd w:id="826"/>
      <w:bookmarkEnd w:id="827"/>
      <w:r>
        <w:rPr>
          <w:sz w:val="24"/>
        </w:rPr>
        <w:t>采购需求偏离表</w:t>
      </w:r>
    </w:p>
    <w:p>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rPr>
            </w:pPr>
            <w:r>
              <w:rPr>
                <w:color w:val="000000"/>
                <w:sz w:val="24"/>
              </w:rPr>
              <w:t>序号</w:t>
            </w:r>
          </w:p>
        </w:tc>
        <w:tc>
          <w:tcPr>
            <w:tcW w:w="1482" w:type="dxa"/>
            <w:vAlign w:val="center"/>
          </w:tcPr>
          <w:p>
            <w:pPr>
              <w:adjustRightInd w:val="0"/>
              <w:snapToGrid w:val="0"/>
              <w:jc w:val="center"/>
              <w:rPr>
                <w:color w:val="000000"/>
                <w:sz w:val="24"/>
              </w:rPr>
            </w:pPr>
            <w:r>
              <w:rPr>
                <w:color w:val="000000"/>
                <w:sz w:val="24"/>
              </w:rPr>
              <w:t>竞争性磋商文件条目号(页码)</w:t>
            </w:r>
          </w:p>
        </w:tc>
        <w:tc>
          <w:tcPr>
            <w:tcW w:w="2384" w:type="dxa"/>
            <w:vAlign w:val="center"/>
          </w:tcPr>
          <w:p>
            <w:pPr>
              <w:adjustRightInd w:val="0"/>
              <w:snapToGrid w:val="0"/>
              <w:jc w:val="center"/>
              <w:rPr>
                <w:color w:val="000000"/>
                <w:sz w:val="24"/>
              </w:rPr>
            </w:pPr>
            <w:r>
              <w:rPr>
                <w:color w:val="000000"/>
                <w:sz w:val="24"/>
              </w:rPr>
              <w:t>竞争性磋商文件要求</w:t>
            </w:r>
          </w:p>
        </w:tc>
        <w:tc>
          <w:tcPr>
            <w:tcW w:w="2126" w:type="dxa"/>
            <w:vAlign w:val="center"/>
          </w:tcPr>
          <w:p>
            <w:pPr>
              <w:adjustRightInd w:val="0"/>
              <w:snapToGrid w:val="0"/>
              <w:jc w:val="center"/>
              <w:rPr>
                <w:color w:val="000000"/>
                <w:sz w:val="24"/>
              </w:rPr>
            </w:pPr>
            <w:r>
              <w:rPr>
                <w:color w:val="000000"/>
                <w:sz w:val="24"/>
              </w:rPr>
              <w:t>响应内容</w:t>
            </w:r>
          </w:p>
        </w:tc>
        <w:tc>
          <w:tcPr>
            <w:tcW w:w="1875" w:type="dxa"/>
            <w:vAlign w:val="center"/>
          </w:tcPr>
          <w:p>
            <w:pPr>
              <w:adjustRightInd w:val="0"/>
              <w:snapToGrid w:val="0"/>
              <w:jc w:val="center"/>
              <w:rPr>
                <w:color w:val="000000"/>
                <w:sz w:val="24"/>
              </w:rPr>
            </w:pPr>
            <w:r>
              <w:rPr>
                <w:color w:val="000000"/>
                <w:sz w:val="24"/>
              </w:rPr>
              <w:t>偏离情况</w:t>
            </w:r>
          </w:p>
          <w:p>
            <w:pPr>
              <w:adjustRightInd w:val="0"/>
              <w:snapToGrid w:val="0"/>
              <w:jc w:val="center"/>
              <w:rPr>
                <w:color w:val="000000"/>
                <w:sz w:val="24"/>
              </w:rPr>
            </w:pPr>
            <w:r>
              <w:rPr>
                <w:color w:val="000000"/>
                <w:sz w:val="24"/>
                <w:szCs w:val="21"/>
              </w:rPr>
              <w:t>（据实填写）</w:t>
            </w:r>
          </w:p>
        </w:tc>
        <w:tc>
          <w:tcPr>
            <w:tcW w:w="1009"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5580"/>
        </w:tabs>
        <w:spacing w:line="360" w:lineRule="auto"/>
        <w:jc w:val="left"/>
        <w:rPr>
          <w:color w:val="000000"/>
          <w:sz w:val="24"/>
          <w:szCs w:val="20"/>
        </w:rPr>
      </w:pPr>
      <w:r>
        <w:rPr>
          <w:rFonts w:hint="eastAsia"/>
          <w:color w:val="000000"/>
          <w:sz w:val="24"/>
          <w:szCs w:val="20"/>
        </w:rPr>
        <w:t>1</w:t>
      </w:r>
      <w:r>
        <w:rPr>
          <w:color w:val="000000"/>
          <w:sz w:val="24"/>
          <w:szCs w:val="20"/>
        </w:rPr>
        <w:t>. 对竞争性磋商文件中的所有商务、技术要求，除本表所列明的所有偏离外，均视作供应商已对之理解和响应。</w:t>
      </w:r>
      <w:r>
        <w:rPr>
          <w:b/>
          <w:bCs/>
          <w:color w:val="000000"/>
          <w:sz w:val="24"/>
          <w:szCs w:val="20"/>
        </w:rPr>
        <w:t>此表中若无任何文字说明，内容为空白的响应无效。</w:t>
      </w:r>
    </w:p>
    <w:p>
      <w:pPr>
        <w:tabs>
          <w:tab w:val="left" w:pos="5580"/>
        </w:tabs>
        <w:spacing w:line="360" w:lineRule="auto"/>
        <w:jc w:val="left"/>
        <w:rPr>
          <w:color w:val="000000"/>
          <w:sz w:val="24"/>
          <w:szCs w:val="20"/>
        </w:rPr>
      </w:pPr>
      <w:r>
        <w:rPr>
          <w:color w:val="000000"/>
          <w:sz w:val="24"/>
          <w:szCs w:val="20"/>
        </w:rPr>
        <w:t>2.</w:t>
      </w:r>
      <w:r>
        <w:rPr>
          <w:rFonts w:hint="eastAsia"/>
          <w:color w:val="000000"/>
          <w:sz w:val="24"/>
          <w:szCs w:val="20"/>
        </w:rPr>
        <w:t>“偏离情况”列应据实填写“正偏离”或“负偏离”或“无偏离”。</w:t>
      </w:r>
    </w:p>
    <w:p>
      <w:pPr>
        <w:tabs>
          <w:tab w:val="left" w:pos="5580"/>
        </w:tabs>
        <w:spacing w:line="360" w:lineRule="auto"/>
        <w:jc w:val="left"/>
        <w:rPr>
          <w:color w:val="000000"/>
          <w:sz w:val="24"/>
          <w:szCs w:val="20"/>
        </w:rPr>
      </w:pPr>
      <w:r>
        <w:rPr>
          <w:rFonts w:hint="eastAsia"/>
          <w:color w:val="000000"/>
          <w:sz w:val="24"/>
          <w:szCs w:val="20"/>
        </w:rPr>
        <w:t>3.供应商应在本表中对采购文件第四章采购需求技术规格的内容进行逐项应答，需在引用采购文件要求的基础上,进行逐条逐项答复、说明或解释。对于评标标准或采购需求中要求提供证明材料的指标，应在说明中标注出对应证明材料的页码。</w:t>
      </w:r>
    </w:p>
    <w:p>
      <w:pPr>
        <w:tabs>
          <w:tab w:val="left" w:pos="1800"/>
          <w:tab w:val="left" w:pos="5580"/>
        </w:tabs>
        <w:jc w:val="left"/>
        <w:rPr>
          <w:color w:val="000000"/>
          <w:sz w:val="24"/>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ind w:right="360"/>
        <w:jc w:val="left"/>
        <w:rPr>
          <w:color w:val="000000"/>
          <w:sz w:val="24"/>
          <w:szCs w:val="20"/>
        </w:rPr>
      </w:pPr>
      <w:r>
        <w:rPr>
          <w:color w:val="000000"/>
          <w:sz w:val="24"/>
          <w:szCs w:val="20"/>
        </w:rPr>
        <w:t xml:space="preserve">日期：____年____月____日 </w:t>
      </w:r>
    </w:p>
    <w:p>
      <w:pPr>
        <w:tabs>
          <w:tab w:val="left" w:pos="360"/>
        </w:tabs>
        <w:snapToGrid w:val="0"/>
        <w:spacing w:line="360" w:lineRule="auto"/>
        <w:outlineLvl w:val="1"/>
        <w:rPr>
          <w:color w:val="000000"/>
          <w:sz w:val="24"/>
          <w:szCs w:val="20"/>
        </w:rPr>
      </w:pPr>
      <w:r>
        <w:rPr>
          <w:color w:val="000000"/>
          <w:sz w:val="24"/>
          <w:szCs w:val="20"/>
        </w:rPr>
        <w:br w:type="page"/>
      </w:r>
      <w:r>
        <w:rPr>
          <w:sz w:val="24"/>
        </w:rPr>
        <w:t>1</w:t>
      </w:r>
      <w:r>
        <w:rPr>
          <w:rFonts w:hint="eastAsia"/>
          <w:sz w:val="24"/>
          <w:lang w:val="en-US" w:eastAsia="zh-CN"/>
        </w:rPr>
        <w:t>2</w:t>
      </w:r>
      <w:r>
        <w:rPr>
          <w:sz w:val="24"/>
        </w:rPr>
        <w:t xml:space="preserve">  拟分包情况说明（类型二）</w:t>
      </w:r>
      <w:r>
        <w:rPr>
          <w:b/>
          <w:sz w:val="24"/>
        </w:rPr>
        <w:t>（本项目不涉及）</w:t>
      </w: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_的_______项目（填写采购项目名称）中___包（填写包号）的磋商。拟签订分包合同的单位情况如下表所示，我单位承诺一旦在该项目中获得采购合同将按下表所列情况进行分包，同时承诺分包承担主体不再次分包。</w:t>
      </w:r>
    </w:p>
    <w:tbl>
      <w:tblPr>
        <w:tblStyle w:val="45"/>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rPr>
            </w:pPr>
            <w:r>
              <w:rPr>
                <w:rFonts w:hint="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rPr>
            </w:pPr>
            <w:r>
              <w:rPr>
                <w:rFonts w:hint="eastAsia"/>
                <w:sz w:val="24"/>
              </w:rPr>
              <w:t>分包承担</w:t>
            </w:r>
          </w:p>
          <w:p>
            <w:pPr>
              <w:pStyle w:val="249"/>
              <w:jc w:val="center"/>
              <w:rPr>
                <w:sz w:val="24"/>
              </w:rPr>
            </w:pPr>
            <w:r>
              <w:rPr>
                <w:rFonts w:hint="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lang w:eastAsia="zh-CN"/>
              </w:rPr>
            </w:pPr>
            <w:r>
              <w:rPr>
                <w:rFonts w:hint="eastAsia"/>
                <w:sz w:val="24"/>
                <w:lang w:eastAsia="zh-CN"/>
              </w:rPr>
              <w:t>分包承担</w:t>
            </w:r>
          </w:p>
          <w:p>
            <w:pPr>
              <w:pStyle w:val="249"/>
              <w:jc w:val="center"/>
              <w:rPr>
                <w:sz w:val="24"/>
                <w:lang w:eastAsia="zh-CN"/>
              </w:rPr>
            </w:pPr>
            <w:r>
              <w:rPr>
                <w:rFonts w:hint="eastAsia"/>
                <w:sz w:val="24"/>
                <w:lang w:eastAsia="zh-CN"/>
              </w:rPr>
              <w:t>主体类型</w:t>
            </w:r>
          </w:p>
          <w:p>
            <w:pPr>
              <w:pStyle w:val="249"/>
              <w:jc w:val="center"/>
              <w:rPr>
                <w:sz w:val="24"/>
                <w:lang w:eastAsia="zh-CN"/>
              </w:rPr>
            </w:pPr>
            <w:r>
              <w:rPr>
                <w:rFonts w:hint="eastAsia"/>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rPr>
            </w:pPr>
            <w:r>
              <w:rPr>
                <w:rFonts w:hint="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rPr>
            </w:pPr>
            <w:r>
              <w:rPr>
                <w:rFonts w:hint="eastAsia"/>
                <w:sz w:val="24"/>
              </w:rPr>
              <w:t>拟分包</w:t>
            </w:r>
          </w:p>
          <w:p>
            <w:pPr>
              <w:pStyle w:val="249"/>
              <w:jc w:val="center"/>
              <w:rPr>
                <w:sz w:val="24"/>
              </w:rPr>
            </w:pPr>
            <w:r>
              <w:rPr>
                <w:rFonts w:hint="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lang w:eastAsia="zh-CN"/>
              </w:rPr>
            </w:pPr>
            <w:r>
              <w:rPr>
                <w:rFonts w:hint="eastAsia"/>
                <w:sz w:val="24"/>
                <w:lang w:eastAsia="zh-CN"/>
              </w:rPr>
              <w:t>拟分包</w:t>
            </w:r>
          </w:p>
          <w:p>
            <w:pPr>
              <w:pStyle w:val="249"/>
              <w:jc w:val="center"/>
              <w:rPr>
                <w:sz w:val="24"/>
                <w:lang w:eastAsia="zh-CN"/>
              </w:rPr>
            </w:pPr>
            <w:r>
              <w:rPr>
                <w:rFonts w:hint="eastAsia"/>
                <w:sz w:val="24"/>
                <w:lang w:eastAsia="zh-CN"/>
              </w:rPr>
              <w:t>合同金额</w:t>
            </w:r>
          </w:p>
          <w:p>
            <w:pPr>
              <w:pStyle w:val="249"/>
              <w:jc w:val="center"/>
              <w:rPr>
                <w:sz w:val="24"/>
                <w:lang w:eastAsia="zh-CN"/>
              </w:rPr>
            </w:pPr>
            <w:r>
              <w:rPr>
                <w:rFonts w:hint="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b/>
                <w:sz w:val="24"/>
                <w:lang w:eastAsia="zh-CN"/>
              </w:rPr>
            </w:pPr>
            <w:r>
              <w:rPr>
                <w:rFonts w:hint="eastAsia"/>
                <w:b/>
                <w:sz w:val="24"/>
                <w:lang w:eastAsia="zh-CN"/>
              </w:rPr>
              <w:t>占响应报价</w:t>
            </w:r>
          </w:p>
          <w:p>
            <w:pPr>
              <w:pStyle w:val="249"/>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24"/>
              </w:rPr>
            </w:pPr>
            <w:r>
              <w:rPr>
                <w:rFonts w:ascii="Times New Roman"/>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24"/>
                <w:lang w:eastAsia="zh-CN"/>
              </w:rPr>
            </w:pPr>
            <w:r>
              <w:rPr>
                <w:rFonts w:ascii="Times New Roman"/>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24"/>
                <w:lang w:eastAsia="zh-CN"/>
              </w:rPr>
            </w:pPr>
            <w:r>
              <w:rPr>
                <w:rFonts w:hint="eastAsia" w:ascii="Times New Roman"/>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jc w:val="center"/>
              <w:rPr>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pPr>
              <w:pStyle w:val="249"/>
              <w:ind w:right="57" w:rightChars="27"/>
              <w:jc w:val="right"/>
              <w:rPr>
                <w:sz w:val="24"/>
                <w:lang w:eastAsia="zh-CN"/>
              </w:rPr>
            </w:pPr>
            <w:r>
              <w:rPr>
                <w:rFonts w:hint="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r>
        <w:rPr>
          <w:sz w:val="24"/>
        </w:rPr>
        <w:t>注：</w:t>
      </w:r>
      <w:r>
        <w:rPr>
          <w:color w:val="FF0000"/>
          <w:sz w:val="24"/>
        </w:rPr>
        <w:t xml:space="preserve"> </w:t>
      </w:r>
    </w:p>
    <w:p>
      <w:pPr>
        <w:adjustRightInd w:val="0"/>
        <w:snapToGrid w:val="0"/>
        <w:spacing w:line="360" w:lineRule="auto"/>
        <w:jc w:val="left"/>
        <w:rPr>
          <w:sz w:val="24"/>
        </w:rPr>
      </w:pPr>
      <w:r>
        <w:rPr>
          <w:sz w:val="24"/>
        </w:rPr>
        <w:t>1.本表仅在供应商非因“为落实政府采购政策”而分包时填写；供应商“为落实政府采购政策”而向中小企业分包时请按照《</w:t>
      </w:r>
      <w:r>
        <w:rPr>
          <w:color w:val="000000"/>
          <w:sz w:val="24"/>
          <w:szCs w:val="20"/>
        </w:rPr>
        <w:t>拟分包情况说明及分包意向协议</w:t>
      </w:r>
      <w:r>
        <w:rPr>
          <w:sz w:val="24"/>
        </w:rPr>
        <w:t>》（类型一）要求填写。</w:t>
      </w:r>
    </w:p>
    <w:p>
      <w:pPr>
        <w:adjustRightInd w:val="0"/>
        <w:snapToGrid w:val="0"/>
        <w:spacing w:line="360" w:lineRule="auto"/>
        <w:jc w:val="left"/>
        <w:rPr>
          <w:sz w:val="24"/>
        </w:rPr>
      </w:pPr>
      <w:r>
        <w:rPr>
          <w:sz w:val="24"/>
        </w:rPr>
        <w:t>2.如本竞争性磋商文件《供应商须知资料表》载明本项目分包承担主体应具备的相应资质条件，则供应商须在本表中列明分包承担主体的资质等级，并后附资质证书电子件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ind w:firstLine="480" w:firstLineChars="200"/>
        <w:jc w:val="right"/>
        <w:rPr>
          <w:sz w:val="24"/>
        </w:rPr>
      </w:pPr>
      <w:r>
        <w:rPr>
          <w:sz w:val="24"/>
        </w:rPr>
        <w:t>供应商名称（盖章）：_______</w:t>
      </w:r>
    </w:p>
    <w:p>
      <w:pPr>
        <w:spacing w:line="360" w:lineRule="auto"/>
        <w:jc w:val="right"/>
        <w:rPr>
          <w:b/>
          <w:color w:val="000000"/>
          <w:sz w:val="24"/>
        </w:rPr>
      </w:pPr>
      <w:r>
        <w:rPr>
          <w:color w:val="000000"/>
          <w:sz w:val="24"/>
          <w:szCs w:val="20"/>
        </w:rPr>
        <w:t>日期：____年____月____日</w:t>
      </w:r>
    </w:p>
    <w:p>
      <w:pPr>
        <w:tabs>
          <w:tab w:val="left" w:pos="360"/>
        </w:tabs>
        <w:snapToGrid w:val="0"/>
        <w:spacing w:line="360" w:lineRule="auto"/>
        <w:outlineLvl w:val="1"/>
        <w:rPr>
          <w:sz w:val="24"/>
        </w:rPr>
      </w:pPr>
      <w:r>
        <w:rPr>
          <w:color w:val="000000"/>
          <w:sz w:val="24"/>
          <w:szCs w:val="20"/>
        </w:rPr>
        <w:br w:type="page"/>
      </w:r>
      <w:r>
        <w:rPr>
          <w:sz w:val="24"/>
        </w:rPr>
        <w:t>1</w:t>
      </w:r>
      <w:r>
        <w:rPr>
          <w:rFonts w:hint="eastAsia"/>
          <w:sz w:val="24"/>
          <w:lang w:val="en-US" w:eastAsia="zh-CN"/>
        </w:rPr>
        <w:t>3</w:t>
      </w:r>
      <w:r>
        <w:rPr>
          <w:sz w:val="24"/>
        </w:rPr>
        <w:t xml:space="preserve">  竞争性磋商文件要求提供或供应商认为应附的其他材料</w:t>
      </w:r>
    </w:p>
    <w:p>
      <w:pPr>
        <w:tabs>
          <w:tab w:val="left" w:pos="360"/>
        </w:tabs>
        <w:snapToGrid w:val="0"/>
        <w:spacing w:line="360" w:lineRule="auto"/>
        <w:outlineLvl w:val="1"/>
        <w:rPr>
          <w:sz w:val="24"/>
        </w:rPr>
      </w:pPr>
      <w:r>
        <w:rPr>
          <w:rFonts w:hint="eastAsia"/>
          <w:b/>
          <w:bCs/>
          <w:sz w:val="24"/>
        </w:rPr>
        <w:t>1</w:t>
      </w:r>
      <w:r>
        <w:rPr>
          <w:rFonts w:hint="eastAsia"/>
          <w:b/>
          <w:bCs/>
          <w:sz w:val="24"/>
          <w:lang w:val="en-US" w:eastAsia="zh-CN"/>
        </w:rPr>
        <w:t>3</w:t>
      </w:r>
      <w:r>
        <w:rPr>
          <w:rFonts w:hint="eastAsia"/>
          <w:b/>
          <w:bCs/>
          <w:sz w:val="24"/>
        </w:rPr>
        <w:t>.1</w:t>
      </w:r>
      <w:r>
        <w:rPr>
          <w:b/>
          <w:bCs/>
          <w:sz w:val="24"/>
        </w:rPr>
        <w:t>供应商基本情况表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3426"/>
        <w:gridCol w:w="1217"/>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3" w:type="pct"/>
            <w:vAlign w:val="center"/>
          </w:tcPr>
          <w:p>
            <w:pPr>
              <w:spacing w:line="360" w:lineRule="auto"/>
              <w:ind w:right="-197" w:rightChars="-94"/>
              <w:jc w:val="center"/>
              <w:rPr>
                <w:b/>
                <w:bCs/>
                <w:szCs w:val="21"/>
              </w:rPr>
            </w:pPr>
            <w:r>
              <w:rPr>
                <w:b/>
                <w:bCs/>
                <w:szCs w:val="21"/>
                <w:lang w:val="zh-CN"/>
              </w:rPr>
              <w:t>单位名称</w:t>
            </w:r>
          </w:p>
        </w:tc>
        <w:tc>
          <w:tcPr>
            <w:tcW w:w="3746" w:type="pct"/>
            <w:gridSpan w:val="3"/>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lang w:val="zh-CN"/>
              </w:rPr>
            </w:pPr>
            <w:r>
              <w:rPr>
                <w:b/>
                <w:bCs/>
                <w:szCs w:val="21"/>
                <w:lang w:val="zh-CN"/>
              </w:rPr>
              <w:t>法定代表人</w:t>
            </w:r>
          </w:p>
        </w:tc>
        <w:tc>
          <w:tcPr>
            <w:tcW w:w="1844" w:type="pct"/>
            <w:vAlign w:val="center"/>
          </w:tcPr>
          <w:p>
            <w:pPr>
              <w:spacing w:line="360" w:lineRule="auto"/>
              <w:ind w:right="-197" w:rightChars="-94"/>
              <w:jc w:val="center"/>
              <w:rPr>
                <w:szCs w:val="21"/>
              </w:rPr>
            </w:pPr>
          </w:p>
        </w:tc>
        <w:tc>
          <w:tcPr>
            <w:tcW w:w="655" w:type="pct"/>
            <w:vAlign w:val="center"/>
          </w:tcPr>
          <w:p>
            <w:pPr>
              <w:spacing w:line="360" w:lineRule="auto"/>
              <w:ind w:right="-197" w:rightChars="-94"/>
              <w:jc w:val="center"/>
              <w:rPr>
                <w:b/>
                <w:bCs/>
                <w:szCs w:val="21"/>
                <w:lang w:val="zh-CN"/>
              </w:rPr>
            </w:pPr>
            <w:r>
              <w:rPr>
                <w:b/>
                <w:bCs/>
                <w:szCs w:val="21"/>
                <w:lang w:val="zh-CN"/>
              </w:rPr>
              <w:t>注册资金</w:t>
            </w:r>
          </w:p>
        </w:tc>
        <w:tc>
          <w:tcPr>
            <w:tcW w:w="1247" w:type="pct"/>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单位性质</w:t>
            </w:r>
          </w:p>
        </w:tc>
        <w:tc>
          <w:tcPr>
            <w:tcW w:w="1844" w:type="pct"/>
            <w:vAlign w:val="center"/>
          </w:tcPr>
          <w:p>
            <w:pPr>
              <w:spacing w:line="360" w:lineRule="auto"/>
              <w:ind w:right="-197" w:rightChars="-94"/>
              <w:jc w:val="center"/>
              <w:rPr>
                <w:szCs w:val="21"/>
              </w:rPr>
            </w:pPr>
          </w:p>
        </w:tc>
        <w:tc>
          <w:tcPr>
            <w:tcW w:w="655" w:type="pct"/>
            <w:vAlign w:val="center"/>
          </w:tcPr>
          <w:p>
            <w:pPr>
              <w:spacing w:line="360" w:lineRule="auto"/>
              <w:ind w:right="-197" w:rightChars="-94"/>
              <w:jc w:val="center"/>
              <w:rPr>
                <w:b/>
                <w:bCs/>
                <w:szCs w:val="21"/>
              </w:rPr>
            </w:pPr>
            <w:r>
              <w:rPr>
                <w:b/>
                <w:bCs/>
                <w:szCs w:val="21"/>
                <w:lang w:val="zh-CN"/>
              </w:rPr>
              <w:t>成立时间</w:t>
            </w:r>
          </w:p>
        </w:tc>
        <w:tc>
          <w:tcPr>
            <w:tcW w:w="1247" w:type="pct"/>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53" w:type="pct"/>
            <w:vAlign w:val="center"/>
          </w:tcPr>
          <w:p>
            <w:pPr>
              <w:spacing w:line="360" w:lineRule="auto"/>
              <w:ind w:right="-197" w:rightChars="-94"/>
              <w:jc w:val="center"/>
              <w:rPr>
                <w:b/>
                <w:bCs/>
                <w:szCs w:val="21"/>
              </w:rPr>
            </w:pPr>
            <w:r>
              <w:rPr>
                <w:rFonts w:hint="eastAsia"/>
                <w:b/>
                <w:bCs/>
                <w:szCs w:val="21"/>
              </w:rPr>
              <w:t>企业类型</w:t>
            </w:r>
          </w:p>
        </w:tc>
        <w:tc>
          <w:tcPr>
            <w:tcW w:w="3746" w:type="pct"/>
            <w:gridSpan w:val="3"/>
            <w:vAlign w:val="center"/>
          </w:tcPr>
          <w:p>
            <w:pPr>
              <w:spacing w:line="360" w:lineRule="auto"/>
              <w:ind w:right="-197" w:rightChars="-94"/>
              <w:jc w:val="center"/>
              <w:rPr>
                <w:szCs w:val="21"/>
              </w:rPr>
            </w:pPr>
            <w:r>
              <w:rPr>
                <w:rFonts w:hint="eastAsia"/>
                <w:b/>
                <w:bCs/>
                <w:szCs w:val="21"/>
              </w:rPr>
              <w:t xml:space="preserve">      </w:t>
            </w:r>
            <w:r>
              <w:rPr>
                <w:rFonts w:hint="eastAsia"/>
                <w:b/>
                <w:bCs/>
                <w:szCs w:val="21"/>
                <w:u w:val="single"/>
              </w:rPr>
              <w:t xml:space="preserve">        </w:t>
            </w:r>
            <w:r>
              <w:rPr>
                <w:rFonts w:hint="eastAsia"/>
                <w:b/>
                <w:bCs/>
                <w:szCs w:val="21"/>
              </w:rPr>
              <w:t>型       （四选一：大型、中型、小型、微型）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单位地址</w:t>
            </w:r>
          </w:p>
        </w:tc>
        <w:tc>
          <w:tcPr>
            <w:tcW w:w="3746" w:type="pct"/>
            <w:gridSpan w:val="3"/>
            <w:vAlign w:val="center"/>
          </w:tcPr>
          <w:p>
            <w:pPr>
              <w:spacing w:line="360" w:lineRule="auto"/>
              <w:ind w:right="-197" w:rightChars="-94"/>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53" w:type="pct"/>
            <w:vAlign w:val="center"/>
          </w:tcPr>
          <w:p>
            <w:pPr>
              <w:spacing w:line="360" w:lineRule="auto"/>
              <w:ind w:right="-197" w:rightChars="-94"/>
              <w:jc w:val="center"/>
              <w:rPr>
                <w:b/>
                <w:bCs/>
                <w:szCs w:val="21"/>
              </w:rPr>
            </w:pPr>
            <w:r>
              <w:rPr>
                <w:b/>
                <w:bCs/>
                <w:szCs w:val="21"/>
                <w:lang w:val="zh-CN"/>
              </w:rPr>
              <w:t>经营范围</w:t>
            </w:r>
          </w:p>
        </w:tc>
        <w:tc>
          <w:tcPr>
            <w:tcW w:w="3746" w:type="pct"/>
            <w:gridSpan w:val="3"/>
            <w:vAlign w:val="center"/>
          </w:tcPr>
          <w:p>
            <w:pPr>
              <w:spacing w:line="360" w:lineRule="auto"/>
              <w:ind w:right="-197" w:rightChars="-94"/>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3" w:type="pct"/>
            <w:vAlign w:val="center"/>
          </w:tcPr>
          <w:p>
            <w:pPr>
              <w:spacing w:line="360" w:lineRule="auto"/>
              <w:ind w:right="-197" w:rightChars="-94"/>
              <w:jc w:val="center"/>
              <w:rPr>
                <w:b/>
                <w:bCs/>
                <w:szCs w:val="21"/>
              </w:rPr>
            </w:pPr>
            <w:r>
              <w:rPr>
                <w:b/>
                <w:bCs/>
                <w:szCs w:val="21"/>
                <w:lang w:val="zh-CN"/>
              </w:rPr>
              <w:t>开户银行</w:t>
            </w:r>
          </w:p>
        </w:tc>
        <w:tc>
          <w:tcPr>
            <w:tcW w:w="1844" w:type="pct"/>
            <w:vAlign w:val="center"/>
          </w:tcPr>
          <w:p>
            <w:pPr>
              <w:spacing w:line="360" w:lineRule="auto"/>
              <w:ind w:right="-197" w:rightChars="-94"/>
              <w:jc w:val="center"/>
              <w:rPr>
                <w:szCs w:val="21"/>
              </w:rPr>
            </w:pPr>
          </w:p>
        </w:tc>
        <w:tc>
          <w:tcPr>
            <w:tcW w:w="655" w:type="pct"/>
            <w:vAlign w:val="center"/>
          </w:tcPr>
          <w:p>
            <w:pPr>
              <w:spacing w:line="360" w:lineRule="auto"/>
              <w:ind w:right="-197" w:rightChars="-94"/>
              <w:jc w:val="center"/>
              <w:rPr>
                <w:b/>
                <w:bCs/>
                <w:szCs w:val="21"/>
              </w:rPr>
            </w:pPr>
            <w:r>
              <w:rPr>
                <w:b/>
                <w:bCs/>
                <w:szCs w:val="21"/>
              </w:rPr>
              <w:t>银行账户</w:t>
            </w:r>
          </w:p>
        </w:tc>
        <w:tc>
          <w:tcPr>
            <w:tcW w:w="1247" w:type="pct"/>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3" w:type="pct"/>
            <w:vAlign w:val="center"/>
          </w:tcPr>
          <w:p>
            <w:pPr>
              <w:spacing w:line="360" w:lineRule="auto"/>
              <w:ind w:right="-197" w:rightChars="-94"/>
              <w:jc w:val="center"/>
              <w:rPr>
                <w:b/>
                <w:bCs/>
                <w:szCs w:val="21"/>
              </w:rPr>
            </w:pPr>
            <w:r>
              <w:rPr>
                <w:b/>
                <w:bCs/>
                <w:szCs w:val="21"/>
                <w:lang w:val="zh-CN"/>
              </w:rPr>
              <w:t>联系人</w:t>
            </w:r>
          </w:p>
        </w:tc>
        <w:tc>
          <w:tcPr>
            <w:tcW w:w="1844" w:type="pct"/>
            <w:vAlign w:val="center"/>
          </w:tcPr>
          <w:p>
            <w:pPr>
              <w:spacing w:line="360" w:lineRule="auto"/>
              <w:ind w:right="-197" w:rightChars="-94"/>
              <w:jc w:val="center"/>
              <w:rPr>
                <w:szCs w:val="21"/>
              </w:rPr>
            </w:pPr>
          </w:p>
        </w:tc>
        <w:tc>
          <w:tcPr>
            <w:tcW w:w="655" w:type="pct"/>
            <w:vAlign w:val="center"/>
          </w:tcPr>
          <w:p>
            <w:pPr>
              <w:spacing w:line="360" w:lineRule="auto"/>
              <w:ind w:right="-197" w:rightChars="-94"/>
              <w:jc w:val="center"/>
              <w:rPr>
                <w:b/>
                <w:bCs/>
                <w:szCs w:val="21"/>
              </w:rPr>
            </w:pPr>
            <w:r>
              <w:rPr>
                <w:b/>
                <w:bCs/>
                <w:szCs w:val="21"/>
                <w:lang w:val="zh-CN"/>
              </w:rPr>
              <w:t>联系电话</w:t>
            </w:r>
          </w:p>
        </w:tc>
        <w:tc>
          <w:tcPr>
            <w:tcW w:w="1247" w:type="pct"/>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1253" w:type="pct"/>
            <w:vAlign w:val="center"/>
          </w:tcPr>
          <w:p>
            <w:pPr>
              <w:spacing w:line="360" w:lineRule="auto"/>
              <w:ind w:right="-197" w:rightChars="-94"/>
              <w:jc w:val="center"/>
              <w:rPr>
                <w:szCs w:val="21"/>
              </w:rPr>
            </w:pPr>
            <w:r>
              <w:rPr>
                <w:b/>
                <w:bCs/>
                <w:szCs w:val="21"/>
                <w:lang w:val="zh-CN"/>
              </w:rPr>
              <w:t>基本情况</w:t>
            </w:r>
          </w:p>
        </w:tc>
        <w:tc>
          <w:tcPr>
            <w:tcW w:w="3746" w:type="pct"/>
            <w:gridSpan w:val="3"/>
            <w:vAlign w:val="center"/>
          </w:tcPr>
          <w:p>
            <w:pPr>
              <w:spacing w:line="360" w:lineRule="auto"/>
              <w:ind w:right="-197" w:rightChars="-94"/>
              <w:jc w:val="center"/>
              <w:rPr>
                <w:szCs w:val="21"/>
              </w:rPr>
            </w:pPr>
          </w:p>
        </w:tc>
      </w:tr>
    </w:tbl>
    <w:p>
      <w:pPr>
        <w:spacing w:line="360" w:lineRule="auto"/>
        <w:ind w:right="-57" w:rightChars="-27"/>
        <w:jc w:val="left"/>
        <w:rPr>
          <w:szCs w:val="21"/>
          <w:lang w:val="zh-CN"/>
        </w:rPr>
      </w:pPr>
    </w:p>
    <w:p>
      <w:pPr>
        <w:widowControl/>
        <w:jc w:val="left"/>
        <w:rPr>
          <w:szCs w:val="21"/>
        </w:rPr>
      </w:pPr>
      <w:r>
        <w:rPr>
          <w:szCs w:val="21"/>
        </w:rPr>
        <w:br w:type="page"/>
      </w:r>
    </w:p>
    <w:p>
      <w:pPr>
        <w:tabs>
          <w:tab w:val="left" w:pos="360"/>
        </w:tabs>
        <w:snapToGrid w:val="0"/>
        <w:spacing w:line="360" w:lineRule="auto"/>
        <w:outlineLvl w:val="1"/>
        <w:rPr>
          <w:sz w:val="24"/>
        </w:rPr>
      </w:pPr>
      <w:r>
        <w:rPr>
          <w:rFonts w:hint="eastAsia"/>
          <w:sz w:val="24"/>
        </w:rPr>
        <w:t>1</w:t>
      </w:r>
      <w:r>
        <w:rPr>
          <w:rFonts w:hint="eastAsia"/>
          <w:sz w:val="24"/>
          <w:lang w:val="en-US" w:eastAsia="zh-CN"/>
        </w:rPr>
        <w:t>3</w:t>
      </w:r>
      <w:r>
        <w:rPr>
          <w:rFonts w:hint="eastAsia"/>
          <w:sz w:val="24"/>
        </w:rPr>
        <w:t>.2同类</w:t>
      </w:r>
      <w:r>
        <w:rPr>
          <w:sz w:val="24"/>
        </w:rPr>
        <w:t>项目业绩</w:t>
      </w:r>
    </w:p>
    <w:tbl>
      <w:tblPr>
        <w:tblStyle w:val="45"/>
        <w:tblW w:w="500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024"/>
        <w:gridCol w:w="1672"/>
        <w:gridCol w:w="1763"/>
        <w:gridCol w:w="1845"/>
        <w:gridCol w:w="1681"/>
        <w:gridCol w:w="130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Borders>
              <w:top w:val="single" w:color="auto" w:sz="4" w:space="0"/>
            </w:tcBorders>
          </w:tcPr>
          <w:p>
            <w:pPr>
              <w:jc w:val="center"/>
            </w:pPr>
            <w:r>
              <w:t>序号</w:t>
            </w:r>
          </w:p>
        </w:tc>
        <w:tc>
          <w:tcPr>
            <w:tcW w:w="900" w:type="pct"/>
            <w:tcBorders>
              <w:top w:val="single" w:color="auto" w:sz="4" w:space="0"/>
            </w:tcBorders>
          </w:tcPr>
          <w:p>
            <w:pPr>
              <w:jc w:val="center"/>
            </w:pPr>
            <w:r>
              <w:t>项目名称</w:t>
            </w:r>
          </w:p>
        </w:tc>
        <w:tc>
          <w:tcPr>
            <w:tcW w:w="949" w:type="pct"/>
            <w:tcBorders>
              <w:top w:val="single" w:color="auto" w:sz="4" w:space="0"/>
            </w:tcBorders>
          </w:tcPr>
          <w:p>
            <w:pPr>
              <w:jc w:val="center"/>
            </w:pPr>
            <w:r>
              <w:t>合同金额</w:t>
            </w:r>
          </w:p>
        </w:tc>
        <w:tc>
          <w:tcPr>
            <w:tcW w:w="993" w:type="pct"/>
            <w:tcBorders>
              <w:top w:val="single" w:color="auto" w:sz="4" w:space="0"/>
            </w:tcBorders>
          </w:tcPr>
          <w:p>
            <w:pPr>
              <w:jc w:val="center"/>
            </w:pPr>
            <w:r>
              <w:t>起止时间</w:t>
            </w:r>
          </w:p>
        </w:tc>
        <w:tc>
          <w:tcPr>
            <w:tcW w:w="905" w:type="pct"/>
            <w:tcBorders>
              <w:top w:val="single" w:color="auto" w:sz="4" w:space="0"/>
            </w:tcBorders>
          </w:tcPr>
          <w:p>
            <w:pPr>
              <w:jc w:val="center"/>
            </w:pPr>
            <w:r>
              <w:rPr>
                <w:rFonts w:hint="eastAsia"/>
              </w:rPr>
              <w:t>主要内容</w:t>
            </w:r>
          </w:p>
        </w:tc>
        <w:tc>
          <w:tcPr>
            <w:tcW w:w="701" w:type="pct"/>
            <w:tcBorders>
              <w:top w:val="single" w:color="auto" w:sz="4" w:space="0"/>
            </w:tcBorders>
          </w:tcPr>
          <w:p>
            <w:pPr>
              <w:jc w:val="center"/>
            </w:pPr>
            <w: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1</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2</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3</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4</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5</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6</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7</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8</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Borders>
              <w:bottom w:val="single" w:color="auto" w:sz="4" w:space="0"/>
            </w:tcBorders>
          </w:tcPr>
          <w:p>
            <w:pPr>
              <w:jc w:val="center"/>
            </w:pPr>
          </w:p>
        </w:tc>
        <w:tc>
          <w:tcPr>
            <w:tcW w:w="900" w:type="pct"/>
            <w:tcBorders>
              <w:bottom w:val="single" w:color="auto" w:sz="4" w:space="0"/>
            </w:tcBorders>
          </w:tcPr>
          <w:p/>
        </w:tc>
        <w:tc>
          <w:tcPr>
            <w:tcW w:w="949" w:type="pct"/>
            <w:tcBorders>
              <w:bottom w:val="single" w:color="auto" w:sz="4" w:space="0"/>
            </w:tcBorders>
          </w:tcPr>
          <w:p/>
        </w:tc>
        <w:tc>
          <w:tcPr>
            <w:tcW w:w="993" w:type="pct"/>
            <w:tcBorders>
              <w:bottom w:val="single" w:color="auto" w:sz="4" w:space="0"/>
            </w:tcBorders>
          </w:tcPr>
          <w:p/>
        </w:tc>
        <w:tc>
          <w:tcPr>
            <w:tcW w:w="905" w:type="pct"/>
            <w:tcBorders>
              <w:bottom w:val="single" w:color="auto" w:sz="4" w:space="0"/>
            </w:tcBorders>
          </w:tcPr>
          <w:p/>
        </w:tc>
        <w:tc>
          <w:tcPr>
            <w:tcW w:w="701" w:type="pct"/>
            <w:tcBorders>
              <w:bottom w:val="single" w:color="auto" w:sz="4" w:space="0"/>
            </w:tcBorders>
          </w:tcPr>
          <w:p/>
        </w:tc>
      </w:tr>
    </w:tbl>
    <w:p>
      <w:pPr>
        <w:spacing w:line="360" w:lineRule="auto"/>
      </w:pPr>
      <w:r>
        <w:t>备注：</w:t>
      </w:r>
      <w:r>
        <w:rPr>
          <w:rFonts w:hint="eastAsia"/>
        </w:rPr>
        <w:t>附业绩证明材料</w:t>
      </w:r>
    </w:p>
    <w:p>
      <w:pPr>
        <w:autoSpaceDE w:val="0"/>
        <w:autoSpaceDN w:val="0"/>
        <w:adjustRightInd w:val="0"/>
        <w:snapToGrid w:val="0"/>
        <w:spacing w:before="25" w:after="25" w:line="360" w:lineRule="auto"/>
        <w:rPr>
          <w:lang w:val="zh-CN"/>
        </w:rPr>
      </w:pPr>
    </w:p>
    <w:p>
      <w:pPr>
        <w:widowControl/>
        <w:jc w:val="left"/>
        <w:rPr>
          <w:szCs w:val="21"/>
        </w:rPr>
      </w:pPr>
      <w:bookmarkStart w:id="828" w:name="_Toc482104386"/>
      <w:r>
        <w:rPr>
          <w:szCs w:val="21"/>
        </w:rPr>
        <w:br w:type="page"/>
      </w:r>
    </w:p>
    <w:p>
      <w:pPr>
        <w:tabs>
          <w:tab w:val="left" w:pos="360"/>
        </w:tabs>
        <w:snapToGrid w:val="0"/>
        <w:spacing w:line="360" w:lineRule="auto"/>
        <w:outlineLvl w:val="1"/>
        <w:rPr>
          <w:sz w:val="24"/>
        </w:rPr>
      </w:pPr>
      <w:r>
        <w:rPr>
          <w:rFonts w:hint="eastAsia"/>
          <w:sz w:val="24"/>
        </w:rPr>
        <w:t>1</w:t>
      </w:r>
      <w:r>
        <w:rPr>
          <w:rFonts w:hint="eastAsia"/>
          <w:sz w:val="24"/>
          <w:lang w:val="en-US" w:eastAsia="zh-CN"/>
        </w:rPr>
        <w:t>3</w:t>
      </w:r>
      <w:r>
        <w:rPr>
          <w:rFonts w:hint="eastAsia"/>
          <w:sz w:val="24"/>
        </w:rPr>
        <w:t>.3</w:t>
      </w:r>
      <w:r>
        <w:rPr>
          <w:sz w:val="24"/>
        </w:rPr>
        <w:t>项目</w:t>
      </w:r>
      <w:r>
        <w:rPr>
          <w:rFonts w:hint="eastAsia"/>
          <w:sz w:val="24"/>
        </w:rPr>
        <w:t>团队</w:t>
      </w:r>
      <w:r>
        <w:rPr>
          <w:sz w:val="24"/>
        </w:rPr>
        <w:t>人员一览表</w:t>
      </w:r>
      <w:bookmarkEnd w:id="828"/>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000"/>
        <w:gridCol w:w="1143"/>
        <w:gridCol w:w="1286"/>
        <w:gridCol w:w="1429"/>
        <w:gridCol w:w="185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vAlign w:val="center"/>
          </w:tcPr>
          <w:p>
            <w:pPr>
              <w:adjustRightInd w:val="0"/>
              <w:snapToGrid w:val="0"/>
              <w:spacing w:after="120" w:afterLines="50" w:line="360" w:lineRule="auto"/>
              <w:jc w:val="center"/>
              <w:rPr>
                <w:bCs/>
                <w:szCs w:val="21"/>
              </w:rPr>
            </w:pPr>
            <w:r>
              <w:rPr>
                <w:bCs/>
                <w:szCs w:val="21"/>
              </w:rPr>
              <w:t>序号</w:t>
            </w:r>
          </w:p>
        </w:tc>
        <w:tc>
          <w:tcPr>
            <w:tcW w:w="538" w:type="pct"/>
            <w:vAlign w:val="center"/>
          </w:tcPr>
          <w:p>
            <w:pPr>
              <w:adjustRightInd w:val="0"/>
              <w:snapToGrid w:val="0"/>
              <w:spacing w:after="120" w:afterLines="50" w:line="360" w:lineRule="auto"/>
              <w:jc w:val="center"/>
              <w:rPr>
                <w:bCs/>
                <w:szCs w:val="21"/>
              </w:rPr>
            </w:pPr>
            <w:r>
              <w:rPr>
                <w:bCs/>
                <w:szCs w:val="21"/>
              </w:rPr>
              <w:t>姓名</w:t>
            </w:r>
          </w:p>
        </w:tc>
        <w:tc>
          <w:tcPr>
            <w:tcW w:w="615" w:type="pct"/>
            <w:vAlign w:val="center"/>
          </w:tcPr>
          <w:p>
            <w:pPr>
              <w:adjustRightInd w:val="0"/>
              <w:snapToGrid w:val="0"/>
              <w:spacing w:after="120" w:afterLines="50" w:line="360" w:lineRule="auto"/>
              <w:jc w:val="center"/>
              <w:rPr>
                <w:bCs/>
                <w:szCs w:val="21"/>
              </w:rPr>
            </w:pPr>
            <w:r>
              <w:rPr>
                <w:bCs/>
                <w:szCs w:val="21"/>
              </w:rPr>
              <w:t>年龄</w:t>
            </w:r>
          </w:p>
        </w:tc>
        <w:tc>
          <w:tcPr>
            <w:tcW w:w="692" w:type="pct"/>
            <w:vAlign w:val="center"/>
          </w:tcPr>
          <w:p>
            <w:pPr>
              <w:adjustRightInd w:val="0"/>
              <w:snapToGrid w:val="0"/>
              <w:spacing w:after="120" w:afterLines="50" w:line="360" w:lineRule="auto"/>
              <w:jc w:val="center"/>
              <w:rPr>
                <w:bCs/>
                <w:szCs w:val="21"/>
              </w:rPr>
            </w:pPr>
            <w:r>
              <w:rPr>
                <w:bCs/>
                <w:szCs w:val="21"/>
              </w:rPr>
              <w:t>学历</w:t>
            </w:r>
          </w:p>
        </w:tc>
        <w:tc>
          <w:tcPr>
            <w:tcW w:w="769" w:type="pct"/>
            <w:vAlign w:val="center"/>
          </w:tcPr>
          <w:p>
            <w:pPr>
              <w:adjustRightInd w:val="0"/>
              <w:snapToGrid w:val="0"/>
              <w:spacing w:after="120" w:afterLines="50" w:line="360" w:lineRule="auto"/>
              <w:jc w:val="center"/>
              <w:rPr>
                <w:bCs/>
                <w:szCs w:val="21"/>
              </w:rPr>
            </w:pPr>
            <w:r>
              <w:rPr>
                <w:bCs/>
                <w:szCs w:val="21"/>
              </w:rPr>
              <w:t>本项目职责分工</w:t>
            </w:r>
          </w:p>
        </w:tc>
        <w:tc>
          <w:tcPr>
            <w:tcW w:w="1000" w:type="pct"/>
            <w:vAlign w:val="center"/>
          </w:tcPr>
          <w:p>
            <w:pPr>
              <w:adjustRightInd w:val="0"/>
              <w:snapToGrid w:val="0"/>
              <w:spacing w:after="120" w:afterLines="50" w:line="360" w:lineRule="auto"/>
              <w:jc w:val="center"/>
              <w:rPr>
                <w:bCs/>
                <w:szCs w:val="21"/>
              </w:rPr>
            </w:pPr>
            <w:r>
              <w:rPr>
                <w:bCs/>
                <w:szCs w:val="21"/>
              </w:rPr>
              <w:t>参加工作时间及年限</w:t>
            </w:r>
          </w:p>
        </w:tc>
        <w:tc>
          <w:tcPr>
            <w:tcW w:w="1000" w:type="pct"/>
            <w:vAlign w:val="center"/>
          </w:tcPr>
          <w:p>
            <w:pPr>
              <w:adjustRightInd w:val="0"/>
              <w:snapToGrid w:val="0"/>
              <w:spacing w:after="120" w:afterLines="50" w:line="360" w:lineRule="auto"/>
              <w:jc w:val="center"/>
              <w:rPr>
                <w:bCs/>
                <w:szCs w:val="21"/>
              </w:rPr>
            </w:pPr>
            <w:r>
              <w:rPr>
                <w:bCs/>
                <w:szCs w:val="21"/>
              </w:rPr>
              <w:t>获得相关资质证书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bl>
    <w:p>
      <w:pPr>
        <w:spacing w:line="360" w:lineRule="auto"/>
        <w:rPr>
          <w:sz w:val="24"/>
        </w:rPr>
      </w:pPr>
    </w:p>
    <w:p>
      <w:pPr>
        <w:spacing w:line="360" w:lineRule="auto"/>
        <w:rPr>
          <w:szCs w:val="21"/>
        </w:rPr>
      </w:pPr>
      <w:r>
        <w:rPr>
          <w:szCs w:val="21"/>
        </w:rPr>
        <w:t>备注：附项目团队人员的身份证、学历证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w:t>
      </w:r>
      <w:r>
        <w:rPr>
          <w:rFonts w:hint="eastAsia"/>
          <w:szCs w:val="21"/>
        </w:rPr>
        <w:t>职业资格证书（若有）、</w:t>
      </w:r>
      <w:r>
        <w:rPr>
          <w:szCs w:val="21"/>
        </w:rPr>
        <w:t>近</w:t>
      </w:r>
      <w:r>
        <w:rPr>
          <w:rFonts w:hint="eastAsia"/>
          <w:szCs w:val="21"/>
        </w:rPr>
        <w:t>3个月内任意1个月的社保证明或</w:t>
      </w:r>
      <w:r>
        <w:rPr>
          <w:szCs w:val="21"/>
        </w:rPr>
        <w:t>人事合同等相关资料复印件并加盖供应商公章。</w:t>
      </w:r>
    </w:p>
    <w:p>
      <w:pPr>
        <w:spacing w:line="360" w:lineRule="auto"/>
        <w:rPr>
          <w:szCs w:val="21"/>
        </w:rPr>
      </w:pPr>
    </w:p>
    <w:p>
      <w:pPr>
        <w:widowControl/>
        <w:jc w:val="left"/>
        <w:rPr>
          <w:szCs w:val="21"/>
        </w:rPr>
      </w:pPr>
      <w:r>
        <w:rPr>
          <w:szCs w:val="21"/>
        </w:rPr>
        <w:br w:type="page"/>
      </w:r>
    </w:p>
    <w:p>
      <w:pPr>
        <w:tabs>
          <w:tab w:val="left" w:pos="360"/>
        </w:tabs>
        <w:snapToGrid w:val="0"/>
        <w:spacing w:line="360" w:lineRule="auto"/>
        <w:outlineLvl w:val="1"/>
        <w:rPr>
          <w:sz w:val="24"/>
        </w:rPr>
      </w:pPr>
      <w:r>
        <w:rPr>
          <w:rFonts w:hint="eastAsia"/>
          <w:sz w:val="24"/>
        </w:rPr>
        <w:t>1</w:t>
      </w:r>
      <w:r>
        <w:rPr>
          <w:rFonts w:hint="eastAsia"/>
          <w:sz w:val="24"/>
          <w:lang w:val="en-US" w:eastAsia="zh-CN"/>
        </w:rPr>
        <w:t>3</w:t>
      </w:r>
      <w:r>
        <w:rPr>
          <w:rFonts w:hint="eastAsia"/>
          <w:sz w:val="24"/>
        </w:rPr>
        <w:t>.4服务及实施</w:t>
      </w:r>
      <w:r>
        <w:rPr>
          <w:sz w:val="24"/>
        </w:rPr>
        <w:t>方案</w:t>
      </w:r>
    </w:p>
    <w:p>
      <w:pPr>
        <w:pStyle w:val="23"/>
        <w:spacing w:line="360" w:lineRule="auto"/>
        <w:rPr>
          <w:rFonts w:hint="default" w:ascii="Times New Roman" w:hAnsi="Times New Roman"/>
          <w:szCs w:val="21"/>
        </w:rPr>
      </w:pPr>
    </w:p>
    <w:p>
      <w:pPr>
        <w:spacing w:line="360" w:lineRule="auto"/>
        <w:ind w:left="420" w:right="-57" w:rightChars="-27"/>
        <w:rPr>
          <w:sz w:val="24"/>
        </w:rPr>
      </w:pPr>
      <w:r>
        <w:rPr>
          <w:szCs w:val="22"/>
        </w:rPr>
        <w:t>备注：供应商应根据磋商文件第四章采购需求的内容自行编制</w:t>
      </w:r>
      <w:r>
        <w:rPr>
          <w:rFonts w:hint="eastAsia"/>
          <w:szCs w:val="22"/>
        </w:rPr>
        <w:t>服务及实施方案（</w:t>
      </w:r>
      <w:r>
        <w:rPr>
          <w:szCs w:val="21"/>
        </w:rPr>
        <w:t>格式自拟</w:t>
      </w:r>
      <w:r>
        <w:rPr>
          <w:rFonts w:hint="eastAsia"/>
          <w:szCs w:val="22"/>
        </w:rPr>
        <w:t>）</w:t>
      </w:r>
    </w:p>
    <w:p>
      <w:pPr>
        <w:pStyle w:val="23"/>
        <w:spacing w:line="360" w:lineRule="auto"/>
        <w:rPr>
          <w:rFonts w:hint="default" w:ascii="Times New Roman" w:hAnsi="Times New Roman"/>
          <w:szCs w:val="21"/>
        </w:rPr>
      </w:pPr>
    </w:p>
    <w:p>
      <w:pPr>
        <w:spacing w:line="360" w:lineRule="auto"/>
        <w:ind w:left="420" w:right="-57" w:rightChars="-27"/>
        <w:rPr>
          <w:szCs w:val="22"/>
        </w:rPr>
      </w:pPr>
    </w:p>
    <w:p>
      <w:pPr>
        <w:spacing w:line="360" w:lineRule="auto"/>
        <w:ind w:left="420" w:right="-57" w:rightChars="-27"/>
        <w:rPr>
          <w:szCs w:val="22"/>
        </w:rPr>
      </w:pPr>
    </w:p>
    <w:p>
      <w:pPr>
        <w:tabs>
          <w:tab w:val="left" w:pos="360"/>
        </w:tabs>
        <w:snapToGrid w:val="0"/>
        <w:spacing w:line="360" w:lineRule="auto"/>
        <w:outlineLvl w:val="1"/>
        <w:rPr>
          <w:sz w:val="24"/>
        </w:rPr>
      </w:pPr>
      <w:r>
        <w:rPr>
          <w:rFonts w:hint="eastAsia"/>
          <w:szCs w:val="22"/>
        </w:rPr>
        <w:br w:type="page"/>
      </w:r>
      <w:r>
        <w:rPr>
          <w:sz w:val="24"/>
        </w:rPr>
        <w:t>1</w:t>
      </w:r>
      <w:r>
        <w:rPr>
          <w:rFonts w:hint="eastAsia"/>
          <w:sz w:val="24"/>
          <w:lang w:val="en-US" w:eastAsia="zh-CN"/>
        </w:rPr>
        <w:t>4</w:t>
      </w:r>
      <w:r>
        <w:rPr>
          <w:sz w:val="24"/>
        </w:rPr>
        <w:t xml:space="preserve">  最后报价一览表</w:t>
      </w:r>
      <w:r>
        <w:rPr>
          <w:b/>
          <w:sz w:val="24"/>
        </w:rPr>
        <w:t>（</w:t>
      </w:r>
      <w:r>
        <w:rPr>
          <w:rFonts w:hint="eastAsia"/>
          <w:b/>
          <w:sz w:val="24"/>
        </w:rPr>
        <w:t>无需提前准备，本表于现场经磋商后</w:t>
      </w:r>
      <w:r>
        <w:rPr>
          <w:b/>
          <w:sz w:val="24"/>
        </w:rPr>
        <w:t>提交）</w:t>
      </w:r>
    </w:p>
    <w:p>
      <w:pPr>
        <w:widowControl/>
        <w:jc w:val="left"/>
        <w:rPr>
          <w:kern w:val="0"/>
          <w:sz w:val="24"/>
          <w:szCs w:val="20"/>
        </w:rPr>
      </w:pPr>
    </w:p>
    <w:p>
      <w:pPr>
        <w:spacing w:line="360" w:lineRule="exact"/>
        <w:ind w:firstLine="720"/>
        <w:jc w:val="center"/>
        <w:rPr>
          <w:b/>
          <w:color w:val="000000"/>
          <w:sz w:val="36"/>
          <w:szCs w:val="36"/>
        </w:rPr>
      </w:pPr>
    </w:p>
    <w:p>
      <w:pPr>
        <w:spacing w:line="360" w:lineRule="exact"/>
        <w:ind w:firstLine="720"/>
        <w:jc w:val="center"/>
        <w:rPr>
          <w:b/>
          <w:color w:val="000000"/>
          <w:sz w:val="36"/>
          <w:szCs w:val="36"/>
        </w:rPr>
      </w:pPr>
    </w:p>
    <w:p>
      <w:pPr>
        <w:spacing w:line="360" w:lineRule="exact"/>
        <w:ind w:firstLine="720"/>
        <w:jc w:val="center"/>
        <w:rPr>
          <w:b/>
          <w:color w:val="000000"/>
          <w:sz w:val="36"/>
          <w:szCs w:val="36"/>
        </w:rPr>
      </w:pPr>
      <w:r>
        <w:rPr>
          <w:rFonts w:hint="eastAsia"/>
          <w:b/>
          <w:color w:val="000000"/>
          <w:sz w:val="36"/>
          <w:szCs w:val="36"/>
        </w:rPr>
        <w:t>最后报价一览表</w:t>
      </w:r>
    </w:p>
    <w:p>
      <w:pPr>
        <w:tabs>
          <w:tab w:val="left" w:pos="1800"/>
          <w:tab w:val="left" w:pos="5580"/>
        </w:tabs>
        <w:spacing w:line="360" w:lineRule="auto"/>
        <w:jc w:val="left"/>
        <w:rPr>
          <w:color w:val="000000"/>
          <w:sz w:val="24"/>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5"/>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pPr>
              <w:tabs>
                <w:tab w:val="left" w:pos="5580"/>
              </w:tabs>
              <w:jc w:val="center"/>
              <w:rPr>
                <w:b/>
                <w:sz w:val="24"/>
              </w:rPr>
            </w:pPr>
            <w:r>
              <w:rPr>
                <w:b/>
                <w:sz w:val="24"/>
              </w:rPr>
              <w:t>序号</w:t>
            </w:r>
          </w:p>
        </w:tc>
        <w:tc>
          <w:tcPr>
            <w:tcW w:w="1498" w:type="pct"/>
            <w:vMerge w:val="restart"/>
            <w:vAlign w:val="center"/>
          </w:tcPr>
          <w:p>
            <w:pPr>
              <w:tabs>
                <w:tab w:val="left" w:pos="5580"/>
              </w:tabs>
              <w:jc w:val="center"/>
              <w:rPr>
                <w:b/>
                <w:sz w:val="24"/>
              </w:rPr>
            </w:pPr>
            <w:r>
              <w:rPr>
                <w:b/>
                <w:sz w:val="24"/>
              </w:rPr>
              <w:t>供应商名称</w:t>
            </w:r>
          </w:p>
        </w:tc>
        <w:tc>
          <w:tcPr>
            <w:tcW w:w="2106" w:type="pct"/>
            <w:gridSpan w:val="2"/>
            <w:vAlign w:val="center"/>
          </w:tcPr>
          <w:p>
            <w:pPr>
              <w:tabs>
                <w:tab w:val="left" w:pos="5580"/>
              </w:tabs>
              <w:jc w:val="center"/>
              <w:rPr>
                <w:b/>
                <w:sz w:val="24"/>
              </w:rPr>
            </w:pPr>
            <w:r>
              <w:rPr>
                <w:b/>
                <w:sz w:val="24"/>
              </w:rPr>
              <w:t>最后报价</w:t>
            </w:r>
          </w:p>
        </w:tc>
        <w:tc>
          <w:tcPr>
            <w:tcW w:w="949" w:type="pct"/>
            <w:vMerge w:val="restart"/>
            <w:vAlign w:val="center"/>
          </w:tcPr>
          <w:p>
            <w:pPr>
              <w:tabs>
                <w:tab w:val="left" w:pos="5580"/>
              </w:tabs>
              <w:jc w:val="center"/>
              <w:rPr>
                <w:b/>
                <w:sz w:val="24"/>
              </w:rPr>
            </w:pPr>
            <w:r>
              <w:rPr>
                <w:b/>
                <w:sz w:val="24"/>
              </w:rPr>
              <w:t>其他</w:t>
            </w:r>
          </w:p>
          <w:p>
            <w:pPr>
              <w:tabs>
                <w:tab w:val="left" w:pos="5580"/>
              </w:tabs>
              <w:jc w:val="center"/>
              <w:rPr>
                <w:b/>
                <w:sz w:val="24"/>
              </w:rPr>
            </w:pPr>
            <w:r>
              <w:rPr>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pPr>
              <w:tabs>
                <w:tab w:val="left" w:pos="5580"/>
              </w:tabs>
              <w:jc w:val="center"/>
              <w:rPr>
                <w:sz w:val="24"/>
              </w:rPr>
            </w:pPr>
          </w:p>
        </w:tc>
        <w:tc>
          <w:tcPr>
            <w:tcW w:w="1498" w:type="pct"/>
            <w:vMerge w:val="continue"/>
            <w:vAlign w:val="center"/>
          </w:tcPr>
          <w:p>
            <w:pPr>
              <w:tabs>
                <w:tab w:val="left" w:pos="5580"/>
              </w:tabs>
              <w:jc w:val="center"/>
              <w:rPr>
                <w:sz w:val="24"/>
              </w:rPr>
            </w:pPr>
          </w:p>
        </w:tc>
        <w:tc>
          <w:tcPr>
            <w:tcW w:w="1114" w:type="pct"/>
            <w:vAlign w:val="center"/>
          </w:tcPr>
          <w:p>
            <w:pPr>
              <w:tabs>
                <w:tab w:val="left" w:pos="5580"/>
              </w:tabs>
              <w:jc w:val="center"/>
              <w:rPr>
                <w:b/>
                <w:sz w:val="24"/>
              </w:rPr>
            </w:pPr>
            <w:r>
              <w:rPr>
                <w:b/>
                <w:sz w:val="24"/>
              </w:rPr>
              <w:t>大写</w:t>
            </w:r>
          </w:p>
        </w:tc>
        <w:tc>
          <w:tcPr>
            <w:tcW w:w="992" w:type="pct"/>
            <w:vAlign w:val="center"/>
          </w:tcPr>
          <w:p>
            <w:pPr>
              <w:tabs>
                <w:tab w:val="left" w:pos="5580"/>
              </w:tabs>
              <w:jc w:val="center"/>
              <w:rPr>
                <w:b/>
                <w:sz w:val="24"/>
              </w:rPr>
            </w:pPr>
            <w:r>
              <w:rPr>
                <w:b/>
                <w:sz w:val="24"/>
              </w:rPr>
              <w:t>小写</w:t>
            </w:r>
          </w:p>
        </w:tc>
        <w:tc>
          <w:tcPr>
            <w:tcW w:w="949" w:type="pct"/>
            <w:vMerge w:val="continue"/>
            <w:vAlign w:val="center"/>
          </w:tcPr>
          <w:p>
            <w:pPr>
              <w:tabs>
                <w:tab w:val="left" w:pos="5580"/>
              </w:tabs>
              <w:ind w:firstLine="482"/>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pPr>
              <w:tabs>
                <w:tab w:val="left" w:pos="5580"/>
              </w:tabs>
              <w:jc w:val="center"/>
              <w:rPr>
                <w:sz w:val="24"/>
              </w:rPr>
            </w:pPr>
            <w:r>
              <w:rPr>
                <w:rFonts w:hint="eastAsia"/>
                <w:sz w:val="24"/>
              </w:rPr>
              <w:t>1</w:t>
            </w:r>
          </w:p>
        </w:tc>
        <w:tc>
          <w:tcPr>
            <w:tcW w:w="1498" w:type="pct"/>
            <w:vAlign w:val="center"/>
          </w:tcPr>
          <w:p>
            <w:pPr>
              <w:tabs>
                <w:tab w:val="left" w:pos="5580"/>
              </w:tabs>
              <w:jc w:val="center"/>
              <w:rPr>
                <w:sz w:val="24"/>
              </w:rPr>
            </w:pPr>
          </w:p>
        </w:tc>
        <w:tc>
          <w:tcPr>
            <w:tcW w:w="1114" w:type="pct"/>
            <w:vAlign w:val="center"/>
          </w:tcPr>
          <w:p>
            <w:pPr>
              <w:tabs>
                <w:tab w:val="left" w:pos="5580"/>
              </w:tabs>
              <w:jc w:val="center"/>
              <w:rPr>
                <w:sz w:val="24"/>
              </w:rPr>
            </w:pPr>
          </w:p>
        </w:tc>
        <w:tc>
          <w:tcPr>
            <w:tcW w:w="992" w:type="pct"/>
            <w:vAlign w:val="center"/>
          </w:tcPr>
          <w:p>
            <w:pPr>
              <w:tabs>
                <w:tab w:val="left" w:pos="5580"/>
              </w:tabs>
              <w:jc w:val="center"/>
              <w:rPr>
                <w:sz w:val="24"/>
              </w:rPr>
            </w:pPr>
          </w:p>
        </w:tc>
        <w:tc>
          <w:tcPr>
            <w:tcW w:w="949" w:type="pct"/>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ind w:firstLine="480" w:firstLineChars="200"/>
        <w:jc w:val="left"/>
        <w:rPr>
          <w:color w:val="000000"/>
          <w:sz w:val="24"/>
          <w:szCs w:val="20"/>
        </w:rPr>
      </w:pPr>
      <w:r>
        <w:rPr>
          <w:color w:val="000000"/>
          <w:kern w:val="0"/>
          <w:sz w:val="24"/>
        </w:rPr>
        <w:t>注：1</w:t>
      </w:r>
      <w:r>
        <w:rPr>
          <w:color w:val="000000"/>
          <w:sz w:val="24"/>
          <w:szCs w:val="20"/>
        </w:rPr>
        <w:t>.此表中，每包的报价应和《最后分项报价表》中的总价相一致。</w:t>
      </w:r>
    </w:p>
    <w:p>
      <w:pPr>
        <w:tabs>
          <w:tab w:val="left" w:pos="5580"/>
        </w:tabs>
        <w:ind w:firstLine="960" w:firstLineChars="400"/>
        <w:rPr>
          <w:color w:val="000000"/>
          <w:sz w:val="24"/>
          <w:szCs w:val="20"/>
        </w:rPr>
      </w:pPr>
      <w:r>
        <w:rPr>
          <w:color w:val="000000"/>
          <w:sz w:val="24"/>
          <w:szCs w:val="20"/>
        </w:rPr>
        <w:t>2.本表必须按包分别填写。</w:t>
      </w: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pPr>
        <w:widowControl/>
        <w:jc w:val="left"/>
        <w:rPr>
          <w:color w:val="000000"/>
          <w:sz w:val="24"/>
          <w:szCs w:val="20"/>
        </w:rPr>
      </w:pPr>
      <w:r>
        <w:rPr>
          <w:color w:val="000000"/>
          <w:sz w:val="24"/>
          <w:szCs w:val="20"/>
        </w:rPr>
        <w:t xml:space="preserve">日期：____年____月____日   </w:t>
      </w:r>
    </w:p>
    <w:p>
      <w:pPr>
        <w:widowControl/>
        <w:jc w:val="left"/>
        <w:rPr>
          <w:color w:val="000000"/>
          <w:sz w:val="24"/>
          <w:szCs w:val="20"/>
        </w:rPr>
      </w:pPr>
      <w:r>
        <w:rPr>
          <w:color w:val="000000"/>
          <w:sz w:val="24"/>
          <w:szCs w:val="20"/>
        </w:rPr>
        <w:br w:type="page"/>
      </w:r>
    </w:p>
    <w:p>
      <w:pPr>
        <w:tabs>
          <w:tab w:val="left" w:pos="360"/>
        </w:tabs>
        <w:snapToGrid w:val="0"/>
        <w:spacing w:line="360" w:lineRule="auto"/>
        <w:outlineLvl w:val="1"/>
        <w:rPr>
          <w:sz w:val="24"/>
        </w:rPr>
      </w:pPr>
      <w:r>
        <w:rPr>
          <w:sz w:val="24"/>
        </w:rPr>
        <w:t>1</w:t>
      </w:r>
      <w:r>
        <w:rPr>
          <w:rFonts w:hint="eastAsia"/>
          <w:sz w:val="24"/>
          <w:lang w:val="en-US" w:eastAsia="zh-CN"/>
        </w:rPr>
        <w:t>5</w:t>
      </w:r>
      <w:r>
        <w:rPr>
          <w:sz w:val="24"/>
        </w:rPr>
        <w:t xml:space="preserve">  最后分项报价表</w:t>
      </w:r>
      <w:r>
        <w:rPr>
          <w:b/>
          <w:sz w:val="24"/>
        </w:rPr>
        <w:t>（</w:t>
      </w:r>
      <w:r>
        <w:rPr>
          <w:rFonts w:hint="eastAsia"/>
          <w:b/>
          <w:sz w:val="24"/>
        </w:rPr>
        <w:t>无需提前准备，本表于现场经磋商后</w:t>
      </w:r>
      <w:r>
        <w:rPr>
          <w:b/>
          <w:sz w:val="24"/>
        </w:rPr>
        <w:t>提交）</w:t>
      </w:r>
    </w:p>
    <w:p>
      <w:pPr>
        <w:spacing w:line="360" w:lineRule="exact"/>
        <w:jc w:val="center"/>
        <w:rPr>
          <w:color w:val="000000"/>
          <w:sz w:val="36"/>
          <w:szCs w:val="36"/>
        </w:rPr>
      </w:pPr>
    </w:p>
    <w:p>
      <w:pPr>
        <w:spacing w:line="360" w:lineRule="exact"/>
        <w:jc w:val="center"/>
        <w:rPr>
          <w:color w:val="000000"/>
          <w:sz w:val="36"/>
          <w:szCs w:val="36"/>
        </w:rPr>
      </w:pPr>
    </w:p>
    <w:p>
      <w:pPr>
        <w:spacing w:line="360" w:lineRule="exact"/>
        <w:jc w:val="center"/>
        <w:rPr>
          <w:color w:val="000000"/>
          <w:sz w:val="36"/>
          <w:szCs w:val="36"/>
        </w:rPr>
      </w:pPr>
    </w:p>
    <w:p>
      <w:pPr>
        <w:spacing w:line="360" w:lineRule="exact"/>
        <w:jc w:val="center"/>
        <w:rPr>
          <w:color w:val="000000"/>
          <w:sz w:val="36"/>
          <w:szCs w:val="36"/>
        </w:rPr>
      </w:pPr>
      <w:r>
        <w:rPr>
          <w:color w:val="000000"/>
          <w:sz w:val="36"/>
          <w:szCs w:val="36"/>
        </w:rPr>
        <w:t>最后分项报价表</w:t>
      </w:r>
    </w:p>
    <w:p>
      <w:pPr>
        <w:spacing w:line="260" w:lineRule="exact"/>
        <w:jc w:val="center"/>
        <w:rPr>
          <w:color w:val="000000"/>
          <w:sz w:val="36"/>
          <w:szCs w:val="36"/>
        </w:rPr>
      </w:pPr>
    </w:p>
    <w:p>
      <w:pPr>
        <w:adjustRightInd w:val="0"/>
        <w:snapToGrid w:val="0"/>
        <w:spacing w:before="240" w:beforeLines="100" w:after="240" w:afterLines="100"/>
        <w:jc w:val="left"/>
        <w:rPr>
          <w:b/>
          <w:i/>
          <w:color w:val="FF0000"/>
          <w:sz w:val="24"/>
        </w:rPr>
      </w:pPr>
    </w:p>
    <w:p>
      <w:pPr>
        <w:tabs>
          <w:tab w:val="left" w:pos="1800"/>
          <w:tab w:val="left" w:pos="5580"/>
        </w:tabs>
        <w:rPr>
          <w:color w:val="000000"/>
          <w:sz w:val="24"/>
        </w:rPr>
      </w:pPr>
      <w:r>
        <w:rPr>
          <w:color w:val="000000"/>
          <w:sz w:val="24"/>
        </w:rPr>
        <w:t>项目编号/包号：_________ 项目名称：_________报价单位：人民币元</w:t>
      </w:r>
    </w:p>
    <w:tbl>
      <w:tblPr>
        <w:tblStyle w:val="45"/>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944"/>
        <w:gridCol w:w="1365"/>
        <w:gridCol w:w="1278"/>
        <w:gridCol w:w="1518"/>
        <w:gridCol w:w="1055"/>
        <w:gridCol w:w="518"/>
        <w:gridCol w:w="15"/>
        <w:gridCol w:w="1044"/>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94" w:hRule="atLeast"/>
          <w:jc w:val="center"/>
        </w:trPr>
        <w:tc>
          <w:tcPr>
            <w:tcW w:w="276" w:type="pct"/>
            <w:vAlign w:val="center"/>
          </w:tcPr>
          <w:p>
            <w:pPr>
              <w:adjustRightInd w:val="0"/>
              <w:snapToGrid w:val="0"/>
              <w:jc w:val="left"/>
              <w:rPr>
                <w:bCs/>
                <w:color w:val="000000"/>
                <w:sz w:val="24"/>
              </w:rPr>
            </w:pPr>
            <w:r>
              <w:rPr>
                <w:bCs/>
                <w:color w:val="000000"/>
                <w:sz w:val="24"/>
              </w:rPr>
              <w:t>序号</w:t>
            </w:r>
          </w:p>
        </w:tc>
        <w:tc>
          <w:tcPr>
            <w:tcW w:w="1050" w:type="pct"/>
            <w:vAlign w:val="center"/>
          </w:tcPr>
          <w:p>
            <w:pPr>
              <w:adjustRightInd w:val="0"/>
              <w:snapToGrid w:val="0"/>
              <w:jc w:val="left"/>
              <w:rPr>
                <w:bCs/>
                <w:color w:val="000000"/>
                <w:sz w:val="24"/>
              </w:rPr>
            </w:pPr>
            <w:r>
              <w:rPr>
                <w:bCs/>
                <w:color w:val="000000"/>
                <w:sz w:val="24"/>
              </w:rPr>
              <w:t>分项名称</w:t>
            </w:r>
          </w:p>
        </w:tc>
        <w:tc>
          <w:tcPr>
            <w:tcW w:w="737" w:type="pct"/>
            <w:vAlign w:val="center"/>
          </w:tcPr>
          <w:p>
            <w:pPr>
              <w:adjustRightInd w:val="0"/>
              <w:snapToGrid w:val="0"/>
              <w:jc w:val="left"/>
              <w:rPr>
                <w:bCs/>
                <w:color w:val="000000"/>
                <w:sz w:val="24"/>
              </w:rPr>
            </w:pPr>
            <w:r>
              <w:rPr>
                <w:bCs/>
                <w:color w:val="000000"/>
                <w:sz w:val="24"/>
              </w:rPr>
              <w:t>制造商/</w:t>
            </w:r>
          </w:p>
          <w:p>
            <w:pPr>
              <w:adjustRightInd w:val="0"/>
              <w:snapToGrid w:val="0"/>
              <w:jc w:val="left"/>
              <w:rPr>
                <w:bCs/>
                <w:color w:val="000000"/>
                <w:sz w:val="24"/>
              </w:rPr>
            </w:pPr>
            <w:r>
              <w:rPr>
                <w:bCs/>
                <w:color w:val="000000"/>
                <w:sz w:val="24"/>
              </w:rPr>
              <w:t>生产厂家</w:t>
            </w:r>
          </w:p>
        </w:tc>
        <w:tc>
          <w:tcPr>
            <w:tcW w:w="690" w:type="pct"/>
            <w:vAlign w:val="center"/>
          </w:tcPr>
          <w:p>
            <w:pPr>
              <w:adjustRightInd w:val="0"/>
              <w:snapToGrid w:val="0"/>
              <w:jc w:val="left"/>
              <w:rPr>
                <w:bCs/>
                <w:color w:val="000000"/>
                <w:sz w:val="24"/>
              </w:rPr>
            </w:pPr>
            <w:r>
              <w:rPr>
                <w:bCs/>
                <w:color w:val="000000"/>
                <w:sz w:val="24"/>
              </w:rPr>
              <w:t>产地</w:t>
            </w:r>
          </w:p>
        </w:tc>
        <w:tc>
          <w:tcPr>
            <w:tcW w:w="820" w:type="pct"/>
            <w:vAlign w:val="center"/>
          </w:tcPr>
          <w:p>
            <w:pPr>
              <w:adjustRightInd w:val="0"/>
              <w:snapToGrid w:val="0"/>
              <w:jc w:val="left"/>
              <w:rPr>
                <w:bCs/>
                <w:color w:val="000000"/>
                <w:sz w:val="24"/>
              </w:rPr>
            </w:pPr>
            <w:r>
              <w:rPr>
                <w:bCs/>
                <w:color w:val="000000"/>
                <w:sz w:val="24"/>
              </w:rPr>
              <w:t>品牌、规格、型号</w:t>
            </w:r>
          </w:p>
        </w:tc>
        <w:tc>
          <w:tcPr>
            <w:tcW w:w="570" w:type="pct"/>
            <w:vAlign w:val="center"/>
          </w:tcPr>
          <w:p>
            <w:pPr>
              <w:adjustRightInd w:val="0"/>
              <w:snapToGrid w:val="0"/>
              <w:jc w:val="left"/>
              <w:rPr>
                <w:bCs/>
                <w:color w:val="000000"/>
                <w:sz w:val="24"/>
              </w:rPr>
            </w:pPr>
            <w:r>
              <w:rPr>
                <w:bCs/>
                <w:color w:val="000000"/>
                <w:sz w:val="24"/>
              </w:rPr>
              <w:t>单价（元）</w:t>
            </w:r>
          </w:p>
        </w:tc>
        <w:tc>
          <w:tcPr>
            <w:tcW w:w="280" w:type="pct"/>
            <w:vAlign w:val="center"/>
          </w:tcPr>
          <w:p>
            <w:pPr>
              <w:adjustRightInd w:val="0"/>
              <w:snapToGrid w:val="0"/>
              <w:jc w:val="left"/>
              <w:rPr>
                <w:bCs/>
                <w:color w:val="000000"/>
                <w:sz w:val="24"/>
              </w:rPr>
            </w:pPr>
            <w:r>
              <w:rPr>
                <w:bCs/>
                <w:color w:val="000000"/>
                <w:sz w:val="24"/>
              </w:rPr>
              <w:t>数量</w:t>
            </w:r>
          </w:p>
        </w:tc>
        <w:tc>
          <w:tcPr>
            <w:tcW w:w="572" w:type="pct"/>
            <w:gridSpan w:val="2"/>
            <w:vAlign w:val="center"/>
          </w:tcPr>
          <w:p>
            <w:pPr>
              <w:adjustRightInd w:val="0"/>
              <w:snapToGrid w:val="0"/>
              <w:jc w:val="left"/>
              <w:rPr>
                <w:bCs/>
                <w:color w:val="000000"/>
                <w:sz w:val="24"/>
              </w:rPr>
            </w:pPr>
            <w:r>
              <w:rPr>
                <w:bCs/>
                <w:color w:val="000000"/>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1</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2</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3</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4</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1" w:type="pct"/>
            <w:gridSpan w:val="8"/>
          </w:tcPr>
          <w:p>
            <w:pPr>
              <w:jc w:val="right"/>
              <w:rPr>
                <w:bCs/>
                <w:sz w:val="24"/>
              </w:rPr>
            </w:pPr>
            <w:r>
              <w:rPr>
                <w:bCs/>
                <w:sz w:val="24"/>
              </w:rPr>
              <w:t>总价（元）</w:t>
            </w:r>
          </w:p>
        </w:tc>
        <w:tc>
          <w:tcPr>
            <w:tcW w:w="569" w:type="pct"/>
            <w:gridSpan w:val="2"/>
            <w:vAlign w:val="center"/>
          </w:tcPr>
          <w:p>
            <w:pPr>
              <w:adjustRightInd w:val="0"/>
              <w:snapToGrid w:val="0"/>
              <w:jc w:val="left"/>
              <w:rPr>
                <w:bCs/>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pPr>
        <w:tabs>
          <w:tab w:val="left" w:pos="1800"/>
          <w:tab w:val="left" w:pos="5580"/>
        </w:tabs>
        <w:ind w:firstLine="480" w:firstLineChars="200"/>
        <w:jc w:val="left"/>
        <w:rPr>
          <w:color w:val="000000"/>
          <w:sz w:val="24"/>
        </w:rPr>
      </w:pPr>
      <w:r>
        <w:rPr>
          <w:color w:val="000000"/>
          <w:sz w:val="24"/>
        </w:rPr>
        <w:t>3.上述各项的详细规格（如有），可另页描述。</w:t>
      </w: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pPr>
        <w:autoSpaceDE w:val="0"/>
        <w:autoSpaceDN w:val="0"/>
        <w:adjustRightInd w:val="0"/>
        <w:snapToGrid w:val="0"/>
        <w:spacing w:before="25" w:after="25" w:line="360" w:lineRule="auto"/>
        <w:rPr>
          <w:color w:val="000000"/>
          <w:sz w:val="24"/>
          <w:szCs w:val="20"/>
        </w:rPr>
      </w:pPr>
      <w:r>
        <w:rPr>
          <w:color w:val="000000"/>
          <w:sz w:val="24"/>
          <w:szCs w:val="20"/>
        </w:rPr>
        <w:t xml:space="preserve">日期：____年____月____日   </w:t>
      </w:r>
    </w:p>
    <w:p>
      <w:pPr>
        <w:spacing w:line="360" w:lineRule="auto"/>
        <w:ind w:left="420" w:right="-57" w:rightChars="-27"/>
        <w:rPr>
          <w:b/>
          <w:sz w:val="36"/>
          <w:szCs w:val="36"/>
        </w:rPr>
      </w:pPr>
    </w:p>
    <w:sectPr>
      <w:headerReference r:id="rId21" w:type="first"/>
      <w:footerReference r:id="rId23" w:type="first"/>
      <w:headerReference r:id="rId20" w:type="even"/>
      <w:footerReference r:id="rId22" w:type="even"/>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28"/>
      <w:ind w:right="360"/>
    </w:pP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0"/>
      </w:rPr>
    </w:pPr>
    <w:r>
      <w:fldChar w:fldCharType="begin"/>
    </w:r>
    <w:r>
      <w:rPr>
        <w:rStyle w:val="50"/>
      </w:rPr>
      <w:instrText xml:space="preserve">PAGE  </w:instrText>
    </w:r>
    <w:r>
      <w:fldChar w:fldCharType="end"/>
    </w:r>
  </w:p>
  <w:p>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28"/>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4"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1BD29"/>
    <w:multiLevelType w:val="singleLevel"/>
    <w:tmpl w:val="8171BD29"/>
    <w:lvl w:ilvl="0" w:tentative="0">
      <w:start w:val="2"/>
      <w:numFmt w:val="chineseCounting"/>
      <w:suff w:val="space"/>
      <w:lvlText w:val="第%1章"/>
      <w:lvlJc w:val="left"/>
      <w:rPr>
        <w:rFonts w:hint="eastAsia"/>
      </w:rPr>
    </w:lvl>
  </w:abstractNum>
  <w:abstractNum w:abstractNumId="1">
    <w:nsid w:val="D07D6D22"/>
    <w:multiLevelType w:val="singleLevel"/>
    <w:tmpl w:val="D07D6D22"/>
    <w:lvl w:ilvl="0" w:tentative="0">
      <w:start w:val="2"/>
      <w:numFmt w:val="decimal"/>
      <w:suff w:val="nothing"/>
      <w:lvlText w:val="（%1）"/>
      <w:lvlJc w:val="left"/>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68324ABB"/>
    <w:multiLevelType w:val="singleLevel"/>
    <w:tmpl w:val="68324ABB"/>
    <w:lvl w:ilvl="0" w:tentative="0">
      <w:start w:val="1"/>
      <w:numFmt w:val="decimal"/>
      <w:lvlText w:val="%1."/>
      <w:lvlJc w:val="left"/>
      <w:pPr>
        <w:tabs>
          <w:tab w:val="left" w:pos="312"/>
        </w:tabs>
      </w:pPr>
    </w:lvl>
  </w:abstractNum>
  <w:abstractNum w:abstractNumId="7">
    <w:nsid w:val="7AE894EB"/>
    <w:multiLevelType w:val="singleLevel"/>
    <w:tmpl w:val="7AE894EB"/>
    <w:lvl w:ilvl="0" w:tentative="0">
      <w:start w:val="4"/>
      <w:numFmt w:val="decimal"/>
      <w:lvlText w:val="%1."/>
      <w:lvlJc w:val="left"/>
      <w:pPr>
        <w:tabs>
          <w:tab w:val="left" w:pos="312"/>
        </w:tabs>
      </w:pPr>
    </w:lvl>
  </w:abstractNum>
  <w:num w:numId="1">
    <w:abstractNumId w:val="1"/>
  </w:num>
  <w:num w:numId="2">
    <w:abstractNumId w:val="7"/>
  </w:num>
  <w:num w:numId="3">
    <w:abstractNumId w:val="3"/>
  </w:num>
  <w:num w:numId="4">
    <w:abstractNumId w:val="2"/>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TkwNzRjMTZkOWQ0ZDMzZTYzNjcwOWQxMGM0OTVmZDQ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7F6"/>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6B"/>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833"/>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0D"/>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57"/>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51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931"/>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DC3"/>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F21"/>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772"/>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308"/>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9EA"/>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699"/>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0F"/>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A8A"/>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A5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46C"/>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EC8"/>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2C"/>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3D94"/>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2"/>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66F"/>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DC8"/>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A0"/>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E59"/>
    <w:rsid w:val="00474F7A"/>
    <w:rsid w:val="00475106"/>
    <w:rsid w:val="004755A4"/>
    <w:rsid w:val="004755B2"/>
    <w:rsid w:val="00475607"/>
    <w:rsid w:val="004759D6"/>
    <w:rsid w:val="00475DDF"/>
    <w:rsid w:val="00475EB7"/>
    <w:rsid w:val="00475EF9"/>
    <w:rsid w:val="004760A4"/>
    <w:rsid w:val="00476129"/>
    <w:rsid w:val="0047647F"/>
    <w:rsid w:val="00476535"/>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BF"/>
    <w:rsid w:val="004B65C1"/>
    <w:rsid w:val="004B662A"/>
    <w:rsid w:val="004B6C4E"/>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ADE"/>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2F49"/>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CE5"/>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09"/>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40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C9D"/>
    <w:rsid w:val="00623E9D"/>
    <w:rsid w:val="00624010"/>
    <w:rsid w:val="006242E3"/>
    <w:rsid w:val="006242F5"/>
    <w:rsid w:val="006247DF"/>
    <w:rsid w:val="00624804"/>
    <w:rsid w:val="00624919"/>
    <w:rsid w:val="006249AF"/>
    <w:rsid w:val="00624A21"/>
    <w:rsid w:val="00624AAA"/>
    <w:rsid w:val="00624BC5"/>
    <w:rsid w:val="0062528A"/>
    <w:rsid w:val="006252D0"/>
    <w:rsid w:val="006254D3"/>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9B6"/>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9E9"/>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1A3A"/>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2F0"/>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4B9"/>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1D88"/>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49"/>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5AA"/>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204"/>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06"/>
    <w:rsid w:val="007E0939"/>
    <w:rsid w:val="007E0E0B"/>
    <w:rsid w:val="007E0E50"/>
    <w:rsid w:val="007E108A"/>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717"/>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37F87"/>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CC8"/>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911"/>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E99"/>
    <w:rsid w:val="00874F7B"/>
    <w:rsid w:val="00875025"/>
    <w:rsid w:val="008753BC"/>
    <w:rsid w:val="00875B26"/>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7DB"/>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953"/>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2F5"/>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A25"/>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A7D"/>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48"/>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DC"/>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0"/>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CEB"/>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84"/>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3D9"/>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B43"/>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16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ACE"/>
    <w:rsid w:val="00C55CBF"/>
    <w:rsid w:val="00C55CE9"/>
    <w:rsid w:val="00C55D12"/>
    <w:rsid w:val="00C55DBC"/>
    <w:rsid w:val="00C55E8F"/>
    <w:rsid w:val="00C55EC4"/>
    <w:rsid w:val="00C561BB"/>
    <w:rsid w:val="00C563E7"/>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B32"/>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10B"/>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55D"/>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0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A38"/>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825"/>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7C4"/>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430"/>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76B"/>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2BA"/>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2D33"/>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754"/>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D63"/>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25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5C7"/>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711"/>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4B7"/>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23"/>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27"/>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0E"/>
    <w:rsid w:val="00EB4670"/>
    <w:rsid w:val="00EB46A4"/>
    <w:rsid w:val="00EB4706"/>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4E1"/>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2D3"/>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01"/>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9A5"/>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3D60"/>
    <w:rsid w:val="00F44172"/>
    <w:rsid w:val="00F44214"/>
    <w:rsid w:val="00F44521"/>
    <w:rsid w:val="00F445DC"/>
    <w:rsid w:val="00F445FB"/>
    <w:rsid w:val="00F44818"/>
    <w:rsid w:val="00F44C27"/>
    <w:rsid w:val="00F44CD6"/>
    <w:rsid w:val="00F44D4F"/>
    <w:rsid w:val="00F4528E"/>
    <w:rsid w:val="00F452C3"/>
    <w:rsid w:val="00F45332"/>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2EF"/>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880"/>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979"/>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D5A"/>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255F6"/>
    <w:rsid w:val="01DD1E9F"/>
    <w:rsid w:val="01F46ACF"/>
    <w:rsid w:val="02490098"/>
    <w:rsid w:val="02A92869"/>
    <w:rsid w:val="0345216A"/>
    <w:rsid w:val="038C50DD"/>
    <w:rsid w:val="04216698"/>
    <w:rsid w:val="046A2D9C"/>
    <w:rsid w:val="047A1C27"/>
    <w:rsid w:val="04CA6420"/>
    <w:rsid w:val="0556544D"/>
    <w:rsid w:val="05F67B74"/>
    <w:rsid w:val="07381C3C"/>
    <w:rsid w:val="07CE65E7"/>
    <w:rsid w:val="07D84A09"/>
    <w:rsid w:val="08404769"/>
    <w:rsid w:val="08B84ACC"/>
    <w:rsid w:val="08E2436B"/>
    <w:rsid w:val="08FE271C"/>
    <w:rsid w:val="095A2D1D"/>
    <w:rsid w:val="0998260D"/>
    <w:rsid w:val="09FC4884"/>
    <w:rsid w:val="0AD02CD3"/>
    <w:rsid w:val="0B660C1A"/>
    <w:rsid w:val="0B891F50"/>
    <w:rsid w:val="0C6C7D9A"/>
    <w:rsid w:val="0CF9306D"/>
    <w:rsid w:val="0DF447F8"/>
    <w:rsid w:val="0E2A01C9"/>
    <w:rsid w:val="0EC45096"/>
    <w:rsid w:val="0ED9696E"/>
    <w:rsid w:val="0F6E292A"/>
    <w:rsid w:val="100E43C8"/>
    <w:rsid w:val="101B2DF0"/>
    <w:rsid w:val="1049042D"/>
    <w:rsid w:val="11296A34"/>
    <w:rsid w:val="12744B97"/>
    <w:rsid w:val="13145014"/>
    <w:rsid w:val="13432776"/>
    <w:rsid w:val="136B069C"/>
    <w:rsid w:val="13771694"/>
    <w:rsid w:val="13C62CD8"/>
    <w:rsid w:val="13E570D9"/>
    <w:rsid w:val="140771E4"/>
    <w:rsid w:val="140C3677"/>
    <w:rsid w:val="143173D9"/>
    <w:rsid w:val="14951E1C"/>
    <w:rsid w:val="15877D00"/>
    <w:rsid w:val="16104E08"/>
    <w:rsid w:val="16C858AD"/>
    <w:rsid w:val="16D4286C"/>
    <w:rsid w:val="16F84E9A"/>
    <w:rsid w:val="16FC482C"/>
    <w:rsid w:val="170B2665"/>
    <w:rsid w:val="17A72AC1"/>
    <w:rsid w:val="17F9271F"/>
    <w:rsid w:val="17F93E0B"/>
    <w:rsid w:val="184E1FE7"/>
    <w:rsid w:val="185F3AF6"/>
    <w:rsid w:val="1865438E"/>
    <w:rsid w:val="18BB4304"/>
    <w:rsid w:val="190B7969"/>
    <w:rsid w:val="194449C1"/>
    <w:rsid w:val="1A293A7B"/>
    <w:rsid w:val="1C3F36F7"/>
    <w:rsid w:val="1C4140F7"/>
    <w:rsid w:val="1C455CA5"/>
    <w:rsid w:val="1CC770C7"/>
    <w:rsid w:val="1D2C69D2"/>
    <w:rsid w:val="1D371EE0"/>
    <w:rsid w:val="1DBB72CB"/>
    <w:rsid w:val="1F0F56AB"/>
    <w:rsid w:val="1FB6166F"/>
    <w:rsid w:val="200428F0"/>
    <w:rsid w:val="20484157"/>
    <w:rsid w:val="20B56ED1"/>
    <w:rsid w:val="20D42D00"/>
    <w:rsid w:val="22535C5C"/>
    <w:rsid w:val="226F48BF"/>
    <w:rsid w:val="22B7725B"/>
    <w:rsid w:val="22D2074B"/>
    <w:rsid w:val="231C7568"/>
    <w:rsid w:val="234306CD"/>
    <w:rsid w:val="239E00B4"/>
    <w:rsid w:val="25047891"/>
    <w:rsid w:val="251E74A4"/>
    <w:rsid w:val="25584238"/>
    <w:rsid w:val="26435EC5"/>
    <w:rsid w:val="2755702A"/>
    <w:rsid w:val="2768090A"/>
    <w:rsid w:val="27734A24"/>
    <w:rsid w:val="277A32D2"/>
    <w:rsid w:val="27832720"/>
    <w:rsid w:val="27843CE5"/>
    <w:rsid w:val="27F35C4C"/>
    <w:rsid w:val="2911441B"/>
    <w:rsid w:val="29491A44"/>
    <w:rsid w:val="2A482C60"/>
    <w:rsid w:val="2A6E1B6D"/>
    <w:rsid w:val="2A842F9C"/>
    <w:rsid w:val="2A9211C9"/>
    <w:rsid w:val="2B9C342A"/>
    <w:rsid w:val="2B9D103D"/>
    <w:rsid w:val="2BA41F0E"/>
    <w:rsid w:val="2BF63585"/>
    <w:rsid w:val="2C44019A"/>
    <w:rsid w:val="2CBB40AE"/>
    <w:rsid w:val="2D97686A"/>
    <w:rsid w:val="2E0C7698"/>
    <w:rsid w:val="2E7B1F74"/>
    <w:rsid w:val="2F447404"/>
    <w:rsid w:val="2FAA3D15"/>
    <w:rsid w:val="2FB63264"/>
    <w:rsid w:val="2FD90B47"/>
    <w:rsid w:val="2FDB5D38"/>
    <w:rsid w:val="30C63DB3"/>
    <w:rsid w:val="30D3549A"/>
    <w:rsid w:val="31DD5420"/>
    <w:rsid w:val="32BC7B3B"/>
    <w:rsid w:val="32EB653A"/>
    <w:rsid w:val="32FB64D1"/>
    <w:rsid w:val="335F037D"/>
    <w:rsid w:val="33622E24"/>
    <w:rsid w:val="33B25395"/>
    <w:rsid w:val="33F449DA"/>
    <w:rsid w:val="34473024"/>
    <w:rsid w:val="3495784E"/>
    <w:rsid w:val="34C41689"/>
    <w:rsid w:val="34CE2545"/>
    <w:rsid w:val="351532E0"/>
    <w:rsid w:val="366E24ED"/>
    <w:rsid w:val="37374EE9"/>
    <w:rsid w:val="37FE7C9D"/>
    <w:rsid w:val="38514C0D"/>
    <w:rsid w:val="38FD52E9"/>
    <w:rsid w:val="398B27CD"/>
    <w:rsid w:val="3A3B511C"/>
    <w:rsid w:val="3A7C1062"/>
    <w:rsid w:val="3B4003E1"/>
    <w:rsid w:val="3BCB6780"/>
    <w:rsid w:val="3BEE0DEE"/>
    <w:rsid w:val="3BFF1830"/>
    <w:rsid w:val="3C0B2D05"/>
    <w:rsid w:val="3C7B3D29"/>
    <w:rsid w:val="3D4A161A"/>
    <w:rsid w:val="3D765C9E"/>
    <w:rsid w:val="3D802F46"/>
    <w:rsid w:val="3D923FBC"/>
    <w:rsid w:val="3DA93F87"/>
    <w:rsid w:val="3DF77869"/>
    <w:rsid w:val="3E281026"/>
    <w:rsid w:val="3E3071BA"/>
    <w:rsid w:val="3E5F273D"/>
    <w:rsid w:val="3E780403"/>
    <w:rsid w:val="3EB4709E"/>
    <w:rsid w:val="3EED211F"/>
    <w:rsid w:val="3F534076"/>
    <w:rsid w:val="3FE32A90"/>
    <w:rsid w:val="3FF5F3AE"/>
    <w:rsid w:val="40083E4B"/>
    <w:rsid w:val="400D537F"/>
    <w:rsid w:val="40D84414"/>
    <w:rsid w:val="41D41383"/>
    <w:rsid w:val="42311CC2"/>
    <w:rsid w:val="42522455"/>
    <w:rsid w:val="42875E0D"/>
    <w:rsid w:val="428F22F4"/>
    <w:rsid w:val="42C71427"/>
    <w:rsid w:val="42CD0A98"/>
    <w:rsid w:val="431833B4"/>
    <w:rsid w:val="431A0C09"/>
    <w:rsid w:val="43C854E1"/>
    <w:rsid w:val="43E71B8B"/>
    <w:rsid w:val="43F843C9"/>
    <w:rsid w:val="445640A0"/>
    <w:rsid w:val="44DA16D0"/>
    <w:rsid w:val="45633A36"/>
    <w:rsid w:val="4564715C"/>
    <w:rsid w:val="464F55DE"/>
    <w:rsid w:val="46956304"/>
    <w:rsid w:val="46A96B5A"/>
    <w:rsid w:val="480E2158"/>
    <w:rsid w:val="481C4DD7"/>
    <w:rsid w:val="48706643"/>
    <w:rsid w:val="49FD08B7"/>
    <w:rsid w:val="4A3F3BEF"/>
    <w:rsid w:val="4B393693"/>
    <w:rsid w:val="4B65373A"/>
    <w:rsid w:val="4BA71647"/>
    <w:rsid w:val="4C2E4AAE"/>
    <w:rsid w:val="4C343A36"/>
    <w:rsid w:val="4CD20A2C"/>
    <w:rsid w:val="4D00163A"/>
    <w:rsid w:val="4E375A78"/>
    <w:rsid w:val="4EBA3DE1"/>
    <w:rsid w:val="4F0F5BE3"/>
    <w:rsid w:val="4F413221"/>
    <w:rsid w:val="4F9A042C"/>
    <w:rsid w:val="4FA14F27"/>
    <w:rsid w:val="5024641F"/>
    <w:rsid w:val="50AF3548"/>
    <w:rsid w:val="50B25A3B"/>
    <w:rsid w:val="51653CC9"/>
    <w:rsid w:val="5170130B"/>
    <w:rsid w:val="51782617"/>
    <w:rsid w:val="51F93E6D"/>
    <w:rsid w:val="52422029"/>
    <w:rsid w:val="536D4A7F"/>
    <w:rsid w:val="5385708B"/>
    <w:rsid w:val="545A59FC"/>
    <w:rsid w:val="547E22C9"/>
    <w:rsid w:val="55040901"/>
    <w:rsid w:val="55A078F9"/>
    <w:rsid w:val="55F81556"/>
    <w:rsid w:val="56DF05DE"/>
    <w:rsid w:val="571C2FE7"/>
    <w:rsid w:val="57445E80"/>
    <w:rsid w:val="574D5E7B"/>
    <w:rsid w:val="576438E1"/>
    <w:rsid w:val="57FC6189"/>
    <w:rsid w:val="580A4CC8"/>
    <w:rsid w:val="583848AE"/>
    <w:rsid w:val="584077DE"/>
    <w:rsid w:val="5856692C"/>
    <w:rsid w:val="58A667B1"/>
    <w:rsid w:val="58F82B7A"/>
    <w:rsid w:val="58FC149E"/>
    <w:rsid w:val="592A212B"/>
    <w:rsid w:val="59F900F6"/>
    <w:rsid w:val="5A184D71"/>
    <w:rsid w:val="5A2C5AEF"/>
    <w:rsid w:val="5AF65419"/>
    <w:rsid w:val="5B017295"/>
    <w:rsid w:val="5B5B3C8E"/>
    <w:rsid w:val="5BD46FD9"/>
    <w:rsid w:val="5BE56349"/>
    <w:rsid w:val="5C291AA7"/>
    <w:rsid w:val="5CC8534F"/>
    <w:rsid w:val="5D255365"/>
    <w:rsid w:val="5DB073BD"/>
    <w:rsid w:val="5E2532E6"/>
    <w:rsid w:val="5E6E2AC2"/>
    <w:rsid w:val="5F073306"/>
    <w:rsid w:val="5F1A3805"/>
    <w:rsid w:val="5F2672C4"/>
    <w:rsid w:val="5F5F73B9"/>
    <w:rsid w:val="5FF52843"/>
    <w:rsid w:val="600478F7"/>
    <w:rsid w:val="60252F47"/>
    <w:rsid w:val="607D25AB"/>
    <w:rsid w:val="60EB3548"/>
    <w:rsid w:val="6289426E"/>
    <w:rsid w:val="629D3A5C"/>
    <w:rsid w:val="62AA7C80"/>
    <w:rsid w:val="63050CE0"/>
    <w:rsid w:val="636901B3"/>
    <w:rsid w:val="63710109"/>
    <w:rsid w:val="637C5140"/>
    <w:rsid w:val="640A58F5"/>
    <w:rsid w:val="653B379E"/>
    <w:rsid w:val="65D724C9"/>
    <w:rsid w:val="66CD6B09"/>
    <w:rsid w:val="679118E5"/>
    <w:rsid w:val="67A23B7D"/>
    <w:rsid w:val="67B17EE2"/>
    <w:rsid w:val="67DD63C9"/>
    <w:rsid w:val="6838144E"/>
    <w:rsid w:val="68427322"/>
    <w:rsid w:val="68AA7398"/>
    <w:rsid w:val="68C23834"/>
    <w:rsid w:val="68F1207D"/>
    <w:rsid w:val="68F44821"/>
    <w:rsid w:val="68F621ED"/>
    <w:rsid w:val="69231D90"/>
    <w:rsid w:val="692B1B1A"/>
    <w:rsid w:val="69736177"/>
    <w:rsid w:val="69BD29A7"/>
    <w:rsid w:val="69BD2E65"/>
    <w:rsid w:val="6B1707CC"/>
    <w:rsid w:val="6BAC6CE3"/>
    <w:rsid w:val="6C744312"/>
    <w:rsid w:val="6CF27E97"/>
    <w:rsid w:val="6DDF67D2"/>
    <w:rsid w:val="6DFF3AAE"/>
    <w:rsid w:val="6E0758A5"/>
    <w:rsid w:val="6E1F2F17"/>
    <w:rsid w:val="6FC15A20"/>
    <w:rsid w:val="702336A1"/>
    <w:rsid w:val="70623E72"/>
    <w:rsid w:val="709A133F"/>
    <w:rsid w:val="716A6CEF"/>
    <w:rsid w:val="71B6644F"/>
    <w:rsid w:val="737B2B09"/>
    <w:rsid w:val="737D110D"/>
    <w:rsid w:val="742C597A"/>
    <w:rsid w:val="755A331E"/>
    <w:rsid w:val="75D81E14"/>
    <w:rsid w:val="76340EA3"/>
    <w:rsid w:val="76436910"/>
    <w:rsid w:val="76A01D70"/>
    <w:rsid w:val="77770AF7"/>
    <w:rsid w:val="77C5509D"/>
    <w:rsid w:val="78681D5F"/>
    <w:rsid w:val="793D15F0"/>
    <w:rsid w:val="79650CB2"/>
    <w:rsid w:val="797E32B5"/>
    <w:rsid w:val="79861D8D"/>
    <w:rsid w:val="7A415B80"/>
    <w:rsid w:val="7AA835B5"/>
    <w:rsid w:val="7AD447E0"/>
    <w:rsid w:val="7BAE6AB2"/>
    <w:rsid w:val="7C7437BD"/>
    <w:rsid w:val="7DDB16B4"/>
    <w:rsid w:val="7DE66422"/>
    <w:rsid w:val="7DED4B05"/>
    <w:rsid w:val="7ECC1692"/>
    <w:rsid w:val="7F044B04"/>
    <w:rsid w:val="7F7E2984"/>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5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2"/>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4"/>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0"/>
    <w:qFormat/>
    <w:uiPriority w:val="0"/>
    <w:pPr>
      <w:tabs>
        <w:tab w:val="left" w:pos="567"/>
      </w:tabs>
      <w:spacing w:before="120" w:line="22" w:lineRule="atLeast"/>
    </w:pPr>
    <w:rPr>
      <w:rFonts w:ascii="宋体" w:hAnsi="宋体"/>
      <w:sz w:val="24"/>
    </w:rPr>
  </w:style>
  <w:style w:type="paragraph" w:styleId="5">
    <w:name w:val="Normal Indent"/>
    <w:basedOn w:val="1"/>
    <w:next w:val="1"/>
    <w:link w:val="59"/>
    <w:qFormat/>
    <w:uiPriority w:val="99"/>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7"/>
    <w:qFormat/>
    <w:uiPriority w:val="0"/>
    <w:pPr>
      <w:shd w:val="clear" w:color="auto" w:fill="000080"/>
    </w:pPr>
  </w:style>
  <w:style w:type="paragraph" w:styleId="16">
    <w:name w:val="annotation text"/>
    <w:basedOn w:val="1"/>
    <w:link w:val="68"/>
    <w:qFormat/>
    <w:uiPriority w:val="99"/>
    <w:pPr>
      <w:jc w:val="left"/>
    </w:pPr>
  </w:style>
  <w:style w:type="paragraph" w:styleId="17">
    <w:name w:val="Body Text 3"/>
    <w:basedOn w:val="1"/>
    <w:link w:val="69"/>
    <w:qFormat/>
    <w:uiPriority w:val="0"/>
    <w:pPr>
      <w:spacing w:after="120"/>
    </w:pPr>
    <w:rPr>
      <w:sz w:val="16"/>
      <w:szCs w:val="16"/>
    </w:rPr>
  </w:style>
  <w:style w:type="paragraph" w:styleId="18">
    <w:name w:val="Body Text Indent"/>
    <w:basedOn w:val="1"/>
    <w:link w:val="71"/>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72"/>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3"/>
    <w:qFormat/>
    <w:uiPriority w:val="0"/>
    <w:pPr>
      <w:ind w:left="100" w:leftChars="2500"/>
    </w:pPr>
    <w:rPr>
      <w:rFonts w:ascii="仿宋_GB2312" w:hAnsi="宋体" w:eastAsia="仿宋_GB2312"/>
      <w:color w:val="000000"/>
      <w:sz w:val="24"/>
    </w:rPr>
  </w:style>
  <w:style w:type="paragraph" w:styleId="26">
    <w:name w:val="Body Text Indent 2"/>
    <w:basedOn w:val="1"/>
    <w:link w:val="74"/>
    <w:qFormat/>
    <w:uiPriority w:val="0"/>
    <w:pPr>
      <w:ind w:firstLine="480" w:firstLineChars="200"/>
    </w:pPr>
    <w:rPr>
      <w:rFonts w:ascii="仿宋_GB2312" w:eastAsia="仿宋_GB2312"/>
      <w:sz w:val="24"/>
    </w:rPr>
  </w:style>
  <w:style w:type="paragraph" w:styleId="27">
    <w:name w:val="Balloon Text"/>
    <w:basedOn w:val="1"/>
    <w:link w:val="75"/>
    <w:qFormat/>
    <w:uiPriority w:val="0"/>
    <w:rPr>
      <w:sz w:val="18"/>
      <w:szCs w:val="18"/>
    </w:rPr>
  </w:style>
  <w:style w:type="paragraph" w:styleId="28">
    <w:name w:val="footer"/>
    <w:basedOn w:val="1"/>
    <w:link w:val="7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index 9"/>
    <w:basedOn w:val="1"/>
    <w:next w:val="1"/>
    <w:qFormat/>
    <w:uiPriority w:val="99"/>
    <w:pPr>
      <w:ind w:left="3360"/>
      <w:jc w:val="left"/>
    </w:pPr>
    <w:rPr>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Body Text 2"/>
    <w:basedOn w:val="1"/>
    <w:unhideWhenUsed/>
    <w:qFormat/>
    <w:uiPriority w:val="99"/>
    <w:pPr>
      <w:adjustRightInd w:val="0"/>
      <w:spacing w:after="120" w:line="480" w:lineRule="auto"/>
      <w:jc w:val="left"/>
      <w:textAlignment w:val="baseline"/>
    </w:pPr>
    <w:rPr>
      <w:rFonts w:ascii="Calibri" w:hAnsi="Calibri"/>
      <w:kern w:val="0"/>
      <w:sz w:val="24"/>
      <w:szCs w:val="22"/>
      <w:lang w:val="zh-CN"/>
    </w:rPr>
  </w:style>
  <w:style w:type="paragraph" w:styleId="38">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80"/>
    <w:qFormat/>
    <w:uiPriority w:val="0"/>
    <w:pPr>
      <w:jc w:val="center"/>
      <w:outlineLvl w:val="0"/>
    </w:pPr>
    <w:rPr>
      <w:b/>
      <w:sz w:val="32"/>
      <w:szCs w:val="20"/>
    </w:rPr>
  </w:style>
  <w:style w:type="paragraph" w:styleId="42">
    <w:name w:val="annotation subject"/>
    <w:basedOn w:val="16"/>
    <w:next w:val="16"/>
    <w:link w:val="81"/>
    <w:qFormat/>
    <w:uiPriority w:val="0"/>
    <w:rPr>
      <w:b/>
      <w:bCs/>
    </w:rPr>
  </w:style>
  <w:style w:type="paragraph" w:styleId="43">
    <w:name w:val="Body Text First Indent"/>
    <w:basedOn w:val="2"/>
    <w:next w:val="1"/>
    <w:qFormat/>
    <w:uiPriority w:val="0"/>
    <w:pPr>
      <w:spacing w:line="360" w:lineRule="auto"/>
      <w:ind w:firstLine="420"/>
    </w:pPr>
    <w:rPr>
      <w:szCs w:val="20"/>
    </w:rPr>
  </w:style>
  <w:style w:type="paragraph" w:styleId="44">
    <w:name w:val="Body Text First Indent 2"/>
    <w:basedOn w:val="1"/>
    <w:next w:val="1"/>
    <w:link w:val="82"/>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qFormat/>
    <w:uiPriority w:val="0"/>
  </w:style>
  <w:style w:type="character" w:styleId="51">
    <w:name w:val="FollowedHyperlink"/>
    <w:qFormat/>
    <w:uiPriority w:val="99"/>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paragraph" w:customStyle="1" w:styleId="56">
    <w:name w:val="列出段落1"/>
    <w:basedOn w:val="1"/>
    <w:qFormat/>
    <w:uiPriority w:val="0"/>
    <w:pPr>
      <w:ind w:firstLine="420" w:firstLineChars="200"/>
    </w:pPr>
    <w:rPr>
      <w:rFonts w:ascii="Calibri" w:hAnsi="Calibri"/>
      <w:szCs w:val="22"/>
    </w:rPr>
  </w:style>
  <w:style w:type="character" w:customStyle="1" w:styleId="57">
    <w:name w:val="标题 1 字符"/>
    <w:link w:val="3"/>
    <w:qFormat/>
    <w:uiPriority w:val="0"/>
    <w:rPr>
      <w:rFonts w:ascii="宋体"/>
      <w:b/>
      <w:kern w:val="44"/>
      <w:sz w:val="32"/>
    </w:rPr>
  </w:style>
  <w:style w:type="character" w:customStyle="1" w:styleId="58">
    <w:name w:val="标题 2 字符"/>
    <w:link w:val="4"/>
    <w:qFormat/>
    <w:uiPriority w:val="0"/>
    <w:rPr>
      <w:rFonts w:ascii="Arial" w:hAnsi="Arial" w:eastAsia="黑体"/>
      <w:b/>
      <w:sz w:val="30"/>
      <w:lang w:val="en-US" w:eastAsia="zh-CN" w:bidi="ar-SA"/>
    </w:rPr>
  </w:style>
  <w:style w:type="character" w:customStyle="1" w:styleId="59">
    <w:name w:val="正文缩进 字符"/>
    <w:link w:val="5"/>
    <w:qFormat/>
    <w:uiPriority w:val="99"/>
    <w:rPr>
      <w:rFonts w:ascii="宋体" w:eastAsia="宋体"/>
      <w:kern w:val="2"/>
      <w:sz w:val="24"/>
      <w:szCs w:val="24"/>
      <w:lang w:val="en-US" w:eastAsia="zh-CN" w:bidi="ar-SA"/>
    </w:rPr>
  </w:style>
  <w:style w:type="character" w:customStyle="1" w:styleId="60">
    <w:name w:val="标题 3 字符"/>
    <w:link w:val="6"/>
    <w:qFormat/>
    <w:uiPriority w:val="0"/>
    <w:rPr>
      <w:rFonts w:ascii="宋体" w:eastAsia="宋体"/>
      <w:b/>
      <w:sz w:val="24"/>
      <w:u w:val="single"/>
      <w:lang w:val="en-US" w:eastAsia="zh-CN" w:bidi="ar-SA"/>
    </w:rPr>
  </w:style>
  <w:style w:type="character" w:customStyle="1" w:styleId="61">
    <w:name w:val="标题 4 字符"/>
    <w:link w:val="7"/>
    <w:qFormat/>
    <w:uiPriority w:val="0"/>
    <w:rPr>
      <w:rFonts w:ascii="Arial" w:hAnsi="Arial" w:eastAsia="黑体"/>
      <w:b/>
      <w:sz w:val="28"/>
    </w:rPr>
  </w:style>
  <w:style w:type="character" w:customStyle="1" w:styleId="62">
    <w:name w:val="标题 5 字符"/>
    <w:link w:val="8"/>
    <w:qFormat/>
    <w:uiPriority w:val="0"/>
    <w:rPr>
      <w:b/>
      <w:sz w:val="28"/>
    </w:rPr>
  </w:style>
  <w:style w:type="character" w:customStyle="1" w:styleId="63">
    <w:name w:val="标题 6 字符"/>
    <w:link w:val="9"/>
    <w:qFormat/>
    <w:uiPriority w:val="0"/>
    <w:rPr>
      <w:rFonts w:ascii="Arial" w:hAnsi="Arial" w:eastAsia="黑体"/>
      <w:b/>
      <w:sz w:val="24"/>
    </w:rPr>
  </w:style>
  <w:style w:type="character" w:customStyle="1" w:styleId="64">
    <w:name w:val="标题 7 字符"/>
    <w:link w:val="10"/>
    <w:qFormat/>
    <w:uiPriority w:val="0"/>
    <w:rPr>
      <w:b/>
      <w:sz w:val="24"/>
    </w:rPr>
  </w:style>
  <w:style w:type="character" w:customStyle="1" w:styleId="65">
    <w:name w:val="标题 8 字符"/>
    <w:link w:val="11"/>
    <w:qFormat/>
    <w:uiPriority w:val="0"/>
    <w:rPr>
      <w:rFonts w:ascii="Arial" w:hAnsi="Arial" w:eastAsia="黑体"/>
      <w:sz w:val="24"/>
    </w:rPr>
  </w:style>
  <w:style w:type="character" w:customStyle="1" w:styleId="66">
    <w:name w:val="标题 9 字符"/>
    <w:link w:val="12"/>
    <w:qFormat/>
    <w:uiPriority w:val="0"/>
    <w:rPr>
      <w:rFonts w:ascii="Arial" w:hAnsi="Arial" w:eastAsia="黑体"/>
      <w:sz w:val="21"/>
    </w:rPr>
  </w:style>
  <w:style w:type="character" w:customStyle="1" w:styleId="67">
    <w:name w:val="文档结构图 字符"/>
    <w:link w:val="15"/>
    <w:qFormat/>
    <w:uiPriority w:val="0"/>
    <w:rPr>
      <w:kern w:val="2"/>
      <w:sz w:val="21"/>
      <w:szCs w:val="24"/>
      <w:shd w:val="clear" w:color="auto" w:fill="000080"/>
    </w:rPr>
  </w:style>
  <w:style w:type="character" w:customStyle="1" w:styleId="68">
    <w:name w:val="批注文字 字符1"/>
    <w:link w:val="16"/>
    <w:qFormat/>
    <w:uiPriority w:val="99"/>
    <w:rPr>
      <w:kern w:val="2"/>
      <w:sz w:val="21"/>
      <w:szCs w:val="24"/>
    </w:rPr>
  </w:style>
  <w:style w:type="character" w:customStyle="1" w:styleId="69">
    <w:name w:val="正文文本 3 字符"/>
    <w:link w:val="17"/>
    <w:qFormat/>
    <w:uiPriority w:val="0"/>
    <w:rPr>
      <w:kern w:val="2"/>
      <w:sz w:val="16"/>
      <w:szCs w:val="16"/>
    </w:rPr>
  </w:style>
  <w:style w:type="character" w:customStyle="1" w:styleId="70">
    <w:name w:val="正文文本 字符"/>
    <w:link w:val="2"/>
    <w:qFormat/>
    <w:uiPriority w:val="0"/>
    <w:rPr>
      <w:rFonts w:ascii="宋体" w:hAnsi="宋体"/>
      <w:kern w:val="2"/>
      <w:sz w:val="24"/>
      <w:szCs w:val="24"/>
    </w:rPr>
  </w:style>
  <w:style w:type="character" w:customStyle="1" w:styleId="71">
    <w:name w:val="正文文本缩进 字符"/>
    <w:link w:val="18"/>
    <w:qFormat/>
    <w:uiPriority w:val="0"/>
    <w:rPr>
      <w:rFonts w:eastAsia="宋体"/>
      <w:kern w:val="2"/>
      <w:sz w:val="24"/>
      <w:szCs w:val="24"/>
      <w:lang w:val="en-US" w:eastAsia="zh-CN" w:bidi="ar-SA"/>
    </w:rPr>
  </w:style>
  <w:style w:type="character" w:customStyle="1" w:styleId="72">
    <w:name w:val="纯文本 字符2"/>
    <w:link w:val="23"/>
    <w:qFormat/>
    <w:uiPriority w:val="0"/>
    <w:rPr>
      <w:rFonts w:hint="eastAsia" w:ascii="宋体" w:hAnsi="Courier New" w:eastAsia="宋体" w:cs="宋体"/>
      <w:kern w:val="2"/>
      <w:sz w:val="21"/>
    </w:rPr>
  </w:style>
  <w:style w:type="character" w:customStyle="1" w:styleId="73">
    <w:name w:val="日期 字符"/>
    <w:link w:val="25"/>
    <w:qFormat/>
    <w:uiPriority w:val="0"/>
    <w:rPr>
      <w:rFonts w:ascii="仿宋_GB2312" w:hAnsi="宋体" w:eastAsia="仿宋_GB2312"/>
      <w:color w:val="000000"/>
      <w:kern w:val="2"/>
      <w:sz w:val="24"/>
      <w:szCs w:val="24"/>
    </w:rPr>
  </w:style>
  <w:style w:type="character" w:customStyle="1" w:styleId="74">
    <w:name w:val="正文文本缩进 2 字符"/>
    <w:link w:val="26"/>
    <w:qFormat/>
    <w:uiPriority w:val="0"/>
    <w:rPr>
      <w:rFonts w:ascii="仿宋_GB2312" w:eastAsia="仿宋_GB2312"/>
      <w:kern w:val="2"/>
      <w:sz w:val="24"/>
      <w:szCs w:val="24"/>
    </w:rPr>
  </w:style>
  <w:style w:type="character" w:customStyle="1" w:styleId="75">
    <w:name w:val="批注框文本 字符"/>
    <w:link w:val="27"/>
    <w:qFormat/>
    <w:uiPriority w:val="0"/>
    <w:rPr>
      <w:kern w:val="2"/>
      <w:sz w:val="18"/>
      <w:szCs w:val="18"/>
    </w:rPr>
  </w:style>
  <w:style w:type="character" w:customStyle="1" w:styleId="76">
    <w:name w:val="页脚 字符"/>
    <w:link w:val="28"/>
    <w:qFormat/>
    <w:uiPriority w:val="99"/>
    <w:rPr>
      <w:rFonts w:ascii="宋体" w:eastAsia="宋体"/>
      <w:sz w:val="18"/>
      <w:lang w:val="en-US" w:eastAsia="zh-CN" w:bidi="ar-SA"/>
    </w:rPr>
  </w:style>
  <w:style w:type="character" w:customStyle="1" w:styleId="77">
    <w:name w:val="页眉 字符"/>
    <w:link w:val="29"/>
    <w:qFormat/>
    <w:uiPriority w:val="0"/>
    <w:rPr>
      <w:rFonts w:eastAsia="宋体"/>
      <w:kern w:val="2"/>
      <w:sz w:val="18"/>
      <w:szCs w:val="18"/>
      <w:lang w:val="en-US" w:eastAsia="zh-CN" w:bidi="ar-SA"/>
    </w:rPr>
  </w:style>
  <w:style w:type="character" w:customStyle="1" w:styleId="78">
    <w:name w:val="正文文本缩进 3 字符"/>
    <w:link w:val="33"/>
    <w:qFormat/>
    <w:uiPriority w:val="0"/>
    <w:rPr>
      <w:rFonts w:ascii="宋体"/>
      <w:sz w:val="24"/>
    </w:rPr>
  </w:style>
  <w:style w:type="character" w:customStyle="1" w:styleId="79">
    <w:name w:val="HTML 预设格式 字符"/>
    <w:link w:val="38"/>
    <w:qFormat/>
    <w:uiPriority w:val="0"/>
    <w:rPr>
      <w:rFonts w:ascii="宋体" w:hAnsi="宋体" w:cs="宋体"/>
      <w:sz w:val="24"/>
      <w:szCs w:val="24"/>
    </w:rPr>
  </w:style>
  <w:style w:type="character" w:customStyle="1" w:styleId="80">
    <w:name w:val="标题 字符"/>
    <w:link w:val="41"/>
    <w:qFormat/>
    <w:uiPriority w:val="0"/>
    <w:rPr>
      <w:b/>
      <w:kern w:val="2"/>
      <w:sz w:val="32"/>
    </w:rPr>
  </w:style>
  <w:style w:type="character" w:customStyle="1" w:styleId="81">
    <w:name w:val="批注主题 字符"/>
    <w:link w:val="42"/>
    <w:qFormat/>
    <w:uiPriority w:val="0"/>
    <w:rPr>
      <w:rFonts w:ascii="Times New Roman" w:hAnsi="Times New Roman" w:eastAsia="宋体" w:cs="Times New Roman"/>
      <w:b/>
      <w:bCs/>
      <w:kern w:val="2"/>
      <w:sz w:val="21"/>
      <w:szCs w:val="24"/>
      <w:lang w:val="en-US" w:eastAsia="zh-CN" w:bidi="ar-SA"/>
    </w:rPr>
  </w:style>
  <w:style w:type="character" w:customStyle="1" w:styleId="82">
    <w:name w:val="正文文本首行缩进 2 字符"/>
    <w:link w:val="44"/>
    <w:qFormat/>
    <w:uiPriority w:val="0"/>
    <w:rPr>
      <w:rFonts w:eastAsia="宋体"/>
      <w:kern w:val="2"/>
      <w:sz w:val="24"/>
      <w:szCs w:val="24"/>
      <w:lang w:val="en-US" w:eastAsia="zh-CN" w:bidi="ar-SA"/>
    </w:rPr>
  </w:style>
  <w:style w:type="character" w:customStyle="1" w:styleId="83">
    <w:name w:val="批注文字 字符"/>
    <w:qFormat/>
    <w:uiPriority w:val="99"/>
    <w:rPr>
      <w:rFonts w:ascii="Times New Roman" w:hAnsi="Times New Roman" w:eastAsia="宋体" w:cs="Times New Roman"/>
      <w:sz w:val="24"/>
      <w:lang w:val="en-US" w:eastAsia="zh-CN" w:bidi="ar-SA"/>
    </w:rPr>
  </w:style>
  <w:style w:type="character" w:customStyle="1" w:styleId="84">
    <w:name w:val="c21"/>
    <w:qFormat/>
    <w:uiPriority w:val="0"/>
    <w:rPr>
      <w:rFonts w:hint="default" w:ascii="ˎ̥" w:hAnsi="ˎ̥"/>
      <w:color w:val="000000"/>
      <w:sz w:val="20"/>
      <w:szCs w:val="20"/>
      <w:u w:val="none"/>
    </w:rPr>
  </w:style>
  <w:style w:type="character" w:customStyle="1" w:styleId="85">
    <w:name w:val="title4"/>
    <w:qFormat/>
    <w:uiPriority w:val="0"/>
    <w:rPr>
      <w:b/>
      <w:bCs/>
      <w:color w:val="1D87B3"/>
      <w:sz w:val="15"/>
      <w:szCs w:val="15"/>
    </w:rPr>
  </w:style>
  <w:style w:type="character" w:customStyle="1" w:styleId="86">
    <w:name w:val="标题 2 Char Char"/>
    <w:qFormat/>
    <w:uiPriority w:val="0"/>
    <w:rPr>
      <w:rFonts w:ascii="Arial" w:hAnsi="Arial" w:eastAsia="黑体"/>
      <w:b/>
      <w:bCs/>
      <w:kern w:val="2"/>
      <w:sz w:val="32"/>
      <w:szCs w:val="32"/>
      <w:lang w:val="en-US" w:eastAsia="zh-CN" w:bidi="ar-SA"/>
    </w:rPr>
  </w:style>
  <w:style w:type="character" w:customStyle="1" w:styleId="87">
    <w:name w:val="black1"/>
    <w:qFormat/>
    <w:uiPriority w:val="0"/>
    <w:rPr>
      <w:color w:val="000000"/>
    </w:rPr>
  </w:style>
  <w:style w:type="character" w:customStyle="1" w:styleId="88">
    <w:name w:val="street-address"/>
    <w:qFormat/>
    <w:uiPriority w:val="0"/>
  </w:style>
  <w:style w:type="character" w:customStyle="1" w:styleId="89">
    <w:name w:val="locality"/>
    <w:qFormat/>
    <w:uiPriority w:val="0"/>
  </w:style>
  <w:style w:type="character" w:customStyle="1" w:styleId="90">
    <w:name w:val="正文文本缩进 Char1"/>
    <w:link w:val="91"/>
    <w:qFormat/>
    <w:uiPriority w:val="0"/>
    <w:rPr>
      <w:rFonts w:ascii="宋体" w:hAnsi="宋体" w:eastAsia="宋体"/>
      <w:sz w:val="24"/>
      <w:szCs w:val="24"/>
      <w:lang w:bidi="ar-SA"/>
    </w:rPr>
  </w:style>
  <w:style w:type="paragraph" w:customStyle="1" w:styleId="91">
    <w:name w:val="正文文本缩进1"/>
    <w:basedOn w:val="1"/>
    <w:link w:val="90"/>
    <w:qFormat/>
    <w:uiPriority w:val="0"/>
    <w:pPr>
      <w:spacing w:line="480" w:lineRule="exact"/>
      <w:ind w:firstLine="480" w:firstLineChars="200"/>
    </w:pPr>
    <w:rPr>
      <w:rFonts w:ascii="宋体" w:hAnsi="宋体"/>
      <w:kern w:val="0"/>
      <w:sz w:val="24"/>
    </w:rPr>
  </w:style>
  <w:style w:type="character" w:customStyle="1" w:styleId="92">
    <w:name w:val="Char Char11"/>
    <w:qFormat/>
    <w:uiPriority w:val="0"/>
    <w:rPr>
      <w:rFonts w:ascii="宋体" w:eastAsia="宋体"/>
      <w:b/>
      <w:sz w:val="24"/>
      <w:u w:val="single"/>
      <w:lang w:val="en-US" w:eastAsia="zh-CN" w:bidi="ar-SA"/>
    </w:rPr>
  </w:style>
  <w:style w:type="character" w:customStyle="1" w:styleId="93">
    <w:name w:val="txt"/>
    <w:qFormat/>
    <w:uiPriority w:val="0"/>
  </w:style>
  <w:style w:type="character" w:customStyle="1" w:styleId="94">
    <w:name w:val="正文缩进 Char Char"/>
    <w:link w:val="95"/>
    <w:qFormat/>
    <w:uiPriority w:val="0"/>
    <w:rPr>
      <w:rFonts w:ascii="宋体" w:eastAsia="宋体"/>
      <w:snapToGrid w:val="0"/>
      <w:color w:val="000000"/>
      <w:kern w:val="28"/>
      <w:sz w:val="28"/>
      <w:lang w:bidi="ar-SA"/>
    </w:rPr>
  </w:style>
  <w:style w:type="paragraph" w:customStyle="1" w:styleId="95">
    <w:name w:val="正文缩进1"/>
    <w:basedOn w:val="1"/>
    <w:link w:val="94"/>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6">
    <w:name w:val="普通文字1 Char1"/>
    <w:qFormat/>
    <w:uiPriority w:val="0"/>
    <w:rPr>
      <w:rFonts w:ascii="宋体" w:hAnsi="Courier New" w:eastAsia="宋体"/>
      <w:kern w:val="2"/>
      <w:sz w:val="21"/>
      <w:lang w:val="en-US" w:eastAsia="zh-CN" w:bidi="ar-SA"/>
    </w:rPr>
  </w:style>
  <w:style w:type="character" w:customStyle="1" w:styleId="97">
    <w:name w:val="chanpin1"/>
    <w:qFormat/>
    <w:uiPriority w:val="0"/>
    <w:rPr>
      <w:rFonts w:hint="default" w:ascii="ˎ̥" w:hAnsi="ˎ̥"/>
      <w:color w:val="000000"/>
      <w:sz w:val="20"/>
      <w:szCs w:val="20"/>
      <w:u w:val="none"/>
    </w:rPr>
  </w:style>
  <w:style w:type="character" w:customStyle="1" w:styleId="98">
    <w:name w:val="列表段落 字符"/>
    <w:link w:val="99"/>
    <w:qFormat/>
    <w:uiPriority w:val="34"/>
    <w:rPr>
      <w:rFonts w:ascii="Calibri" w:hAnsi="Calibri" w:eastAsia="宋体"/>
      <w:kern w:val="2"/>
      <w:sz w:val="21"/>
      <w:szCs w:val="22"/>
      <w:lang w:val="en-US" w:eastAsia="zh-CN" w:bidi="ar-SA"/>
    </w:rPr>
  </w:style>
  <w:style w:type="paragraph" w:styleId="99">
    <w:name w:val="List Paragraph"/>
    <w:basedOn w:val="1"/>
    <w:link w:val="98"/>
    <w:qFormat/>
    <w:uiPriority w:val="99"/>
    <w:pPr>
      <w:ind w:firstLine="420" w:firstLineChars="200"/>
    </w:pPr>
    <w:rPr>
      <w:rFonts w:ascii="Calibri" w:hAnsi="Calibri"/>
      <w:szCs w:val="22"/>
    </w:rPr>
  </w:style>
  <w:style w:type="character" w:customStyle="1" w:styleId="100">
    <w:name w:val="标题 3 Char Char"/>
    <w:qFormat/>
    <w:uiPriority w:val="0"/>
    <w:rPr>
      <w:rFonts w:eastAsia="宋体"/>
      <w:b/>
      <w:bCs/>
      <w:kern w:val="2"/>
      <w:sz w:val="32"/>
      <w:szCs w:val="32"/>
      <w:lang w:val="en-US" w:eastAsia="zh-CN" w:bidi="ar-SA"/>
    </w:rPr>
  </w:style>
  <w:style w:type="character" w:customStyle="1" w:styleId="101">
    <w:name w:val="段1 Char"/>
    <w:qFormat/>
    <w:uiPriority w:val="0"/>
    <w:rPr>
      <w:rFonts w:ascii="宋体" w:eastAsia="宋体"/>
      <w:sz w:val="24"/>
      <w:lang w:val="en-US" w:eastAsia="zh-CN" w:bidi="ar-SA"/>
    </w:rPr>
  </w:style>
  <w:style w:type="character" w:customStyle="1" w:styleId="102">
    <w:name w:val="chanpin拷贝"/>
    <w:qFormat/>
    <w:uiPriority w:val="0"/>
  </w:style>
  <w:style w:type="character" w:customStyle="1" w:styleId="103">
    <w:name w:val="纯文本 Char1"/>
    <w:qFormat/>
    <w:uiPriority w:val="0"/>
    <w:rPr>
      <w:rFonts w:ascii="宋体" w:hAnsi="Courier New" w:eastAsia="宋体"/>
      <w:kern w:val="2"/>
      <w:sz w:val="21"/>
      <w:lang w:val="en-US" w:eastAsia="zh-CN" w:bidi="ar-SA"/>
    </w:rPr>
  </w:style>
  <w:style w:type="character" w:customStyle="1" w:styleId="104">
    <w:name w:val="apple-style-span"/>
    <w:qFormat/>
    <w:uiPriority w:val="0"/>
    <w:rPr>
      <w:rFonts w:cs="Times New Roman"/>
    </w:rPr>
  </w:style>
  <w:style w:type="paragraph" w:customStyle="1" w:styleId="105">
    <w:name w:val="二级条标题"/>
    <w:basedOn w:val="106"/>
    <w:next w:val="1"/>
    <w:qFormat/>
    <w:uiPriority w:val="0"/>
    <w:pPr>
      <w:tabs>
        <w:tab w:val="left" w:pos="360"/>
        <w:tab w:val="left" w:pos="840"/>
      </w:tabs>
      <w:outlineLvl w:val="2"/>
    </w:pPr>
    <w:rPr>
      <w:rFonts w:ascii="宋体" w:eastAsia="宋体"/>
      <w:b w:val="0"/>
    </w:rPr>
  </w:style>
  <w:style w:type="paragraph" w:customStyle="1" w:styleId="106">
    <w:name w:val="一级条标题"/>
    <w:basedOn w:val="107"/>
    <w:next w:val="1"/>
    <w:qFormat/>
    <w:uiPriority w:val="0"/>
    <w:pPr>
      <w:tabs>
        <w:tab w:val="left" w:pos="360"/>
        <w:tab w:val="left" w:pos="840"/>
      </w:tabs>
      <w:ind w:hanging="840"/>
      <w:outlineLvl w:val="1"/>
    </w:pPr>
  </w:style>
  <w:style w:type="paragraph" w:customStyle="1" w:styleId="107">
    <w:name w:val="章标题"/>
    <w:next w:val="1"/>
    <w:qFormat/>
    <w:uiPriority w:val="0"/>
    <w:pPr>
      <w:spacing w:before="156" w:beforeLines="50" w:after="156" w:afterLines="50" w:line="460" w:lineRule="exact"/>
      <w:jc w:val="both"/>
      <w:outlineLvl w:val="0"/>
    </w:pPr>
    <w:rPr>
      <w:rFonts w:ascii="黑体" w:hAnsi="Times New Roman" w:eastAsia="黑体" w:cs="Times New Roman"/>
      <w:b/>
      <w:sz w:val="28"/>
      <w:lang w:val="en-US" w:eastAsia="zh-CN" w:bidi="ar-SA"/>
    </w:rPr>
  </w:style>
  <w:style w:type="paragraph" w:customStyle="1" w:styleId="10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qFormat/>
    <w:uiPriority w:val="0"/>
    <w:rPr>
      <w:rFonts w:ascii="Tahoma" w:hAnsi="Tahoma"/>
      <w:sz w:val="24"/>
      <w:szCs w:val="20"/>
    </w:rPr>
  </w:style>
  <w:style w:type="paragraph" w:customStyle="1" w:styleId="110">
    <w:name w:val="Char3 Char Char Char"/>
    <w:basedOn w:val="1"/>
    <w:qFormat/>
    <w:uiPriority w:val="0"/>
    <w:rPr>
      <w:rFonts w:ascii="Tahoma" w:hAnsi="Tahoma"/>
      <w:sz w:val="24"/>
      <w:szCs w:val="20"/>
    </w:rPr>
  </w:style>
  <w:style w:type="paragraph" w:customStyle="1" w:styleId="11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qFormat/>
    <w:uiPriority w:val="0"/>
  </w:style>
  <w:style w:type="paragraph" w:customStyle="1" w:styleId="113">
    <w:name w:val="项目编号1"/>
    <w:basedOn w:val="1"/>
    <w:qFormat/>
    <w:uiPriority w:val="0"/>
    <w:pPr>
      <w:spacing w:before="100" w:beforeAutospacing="1" w:after="100" w:afterAutospacing="1" w:line="360" w:lineRule="auto"/>
      <w:ind w:left="420" w:hanging="420"/>
    </w:pPr>
    <w:rPr>
      <w:sz w:val="24"/>
    </w:rPr>
  </w:style>
  <w:style w:type="paragraph" w:customStyle="1" w:styleId="114">
    <w:name w:val="图中文字"/>
    <w:basedOn w:val="1"/>
    <w:qFormat/>
    <w:uiPriority w:val="0"/>
    <w:pPr>
      <w:adjustRightInd w:val="0"/>
      <w:snapToGrid w:val="0"/>
      <w:spacing w:line="0" w:lineRule="atLeast"/>
      <w:jc w:val="center"/>
    </w:pPr>
    <w:rPr>
      <w:sz w:val="24"/>
      <w:szCs w:val="20"/>
    </w:rPr>
  </w:style>
  <w:style w:type="paragraph" w:customStyle="1" w:styleId="11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qFormat/>
    <w:uiPriority w:val="0"/>
    <w:rPr>
      <w:rFonts w:ascii="Tahoma" w:hAnsi="Tahoma"/>
      <w:sz w:val="24"/>
      <w:szCs w:val="20"/>
    </w:rPr>
  </w:style>
  <w:style w:type="paragraph" w:customStyle="1" w:styleId="11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qFormat/>
    <w:uiPriority w:val="0"/>
    <w:pPr>
      <w:widowControl/>
      <w:spacing w:before="100" w:beforeAutospacing="1" w:after="100" w:afterAutospacing="1"/>
      <w:jc w:val="left"/>
    </w:pPr>
    <w:rPr>
      <w:kern w:val="0"/>
      <w:sz w:val="36"/>
      <w:szCs w:val="36"/>
    </w:rPr>
  </w:style>
  <w:style w:type="paragraph" w:customStyle="1" w:styleId="132">
    <w:name w:val="Char"/>
    <w:basedOn w:val="1"/>
    <w:qFormat/>
    <w:uiPriority w:val="0"/>
    <w:pPr>
      <w:tabs>
        <w:tab w:val="left" w:pos="360"/>
      </w:tabs>
    </w:pPr>
    <w:rPr>
      <w:sz w:val="24"/>
    </w:rPr>
  </w:style>
  <w:style w:type="paragraph" w:customStyle="1" w:styleId="13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5"/>
    <w:qFormat/>
    <w:uiPriority w:val="0"/>
    <w:rPr>
      <w:rFonts w:ascii="Tahoma" w:hAnsi="Tahoma"/>
      <w:sz w:val="24"/>
    </w:rPr>
  </w:style>
  <w:style w:type="paragraph" w:customStyle="1" w:styleId="1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1">
    <w:name w:val="Char1 Char Char Char1"/>
    <w:basedOn w:val="1"/>
    <w:qFormat/>
    <w:uiPriority w:val="0"/>
    <w:rPr>
      <w:rFonts w:ascii="Tahoma" w:hAnsi="Tahoma" w:cs="仿宋_GB2312"/>
      <w:sz w:val="24"/>
      <w:szCs w:val="28"/>
    </w:rPr>
  </w:style>
  <w:style w:type="paragraph" w:customStyle="1" w:styleId="142">
    <w:name w:val="四级条标题"/>
    <w:basedOn w:val="143"/>
    <w:next w:val="1"/>
    <w:qFormat/>
    <w:uiPriority w:val="0"/>
    <w:pPr>
      <w:tabs>
        <w:tab w:val="left" w:pos="360"/>
        <w:tab w:val="left" w:pos="840"/>
      </w:tabs>
      <w:outlineLvl w:val="4"/>
    </w:pPr>
  </w:style>
  <w:style w:type="paragraph" w:customStyle="1" w:styleId="143">
    <w:name w:val="三级条标题"/>
    <w:basedOn w:val="105"/>
    <w:next w:val="1"/>
    <w:qFormat/>
    <w:uiPriority w:val="0"/>
    <w:pPr>
      <w:outlineLvl w:val="3"/>
    </w:pPr>
  </w:style>
  <w:style w:type="paragraph" w:customStyle="1" w:styleId="14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4"/>
    <w:qFormat/>
    <w:uiPriority w:val="0"/>
    <w:pPr>
      <w:tabs>
        <w:tab w:val="left" w:pos="1188"/>
      </w:tabs>
      <w:autoSpaceDE/>
      <w:autoSpaceDN/>
      <w:spacing w:before="260" w:after="260" w:line="240" w:lineRule="auto"/>
      <w:ind w:left="1188" w:hanging="360"/>
      <w:jc w:val="left"/>
      <w:textAlignment w:val="baseline"/>
    </w:pPr>
    <w:rPr>
      <w:rFonts w:ascii="宋体" w:hAnsi="宋体" w:eastAsia="宋体"/>
      <w:bCs/>
      <w:sz w:val="21"/>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项目符号1"/>
    <w:basedOn w:val="148"/>
    <w:qFormat/>
    <w:uiPriority w:val="0"/>
    <w:pPr>
      <w:ind w:left="-25" w:firstLine="0"/>
    </w:pPr>
  </w:style>
  <w:style w:type="paragraph" w:customStyle="1" w:styleId="148">
    <w:name w:val="正文文本样式"/>
    <w:basedOn w:val="1"/>
    <w:qFormat/>
    <w:uiPriority w:val="0"/>
    <w:pPr>
      <w:spacing w:line="360" w:lineRule="auto"/>
      <w:ind w:firstLine="482"/>
    </w:pPr>
    <w:rPr>
      <w:rFonts w:cs="宋体"/>
      <w:sz w:val="24"/>
      <w:szCs w:val="20"/>
    </w:rPr>
  </w:style>
  <w:style w:type="paragraph" w:customStyle="1" w:styleId="1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qFormat/>
    <w:uiPriority w:val="0"/>
    <w:pPr>
      <w:outlineLvl w:val="5"/>
    </w:pPr>
  </w:style>
  <w:style w:type="paragraph" w:customStyle="1" w:styleId="15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qFormat/>
    <w:uiPriority w:val="0"/>
    <w:pPr>
      <w:snapToGrid w:val="0"/>
      <w:spacing w:before="120" w:after="120" w:line="180" w:lineRule="auto"/>
    </w:pPr>
    <w:rPr>
      <w:rFonts w:ascii="Arial" w:hAnsi="Arial"/>
      <w:szCs w:val="20"/>
    </w:rPr>
  </w:style>
  <w:style w:type="paragraph" w:customStyle="1" w:styleId="1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qFormat/>
    <w:uiPriority w:val="0"/>
    <w:rPr>
      <w:rFonts w:ascii="Tahoma" w:hAnsi="Tahoma"/>
      <w:sz w:val="24"/>
      <w:szCs w:val="20"/>
    </w:rPr>
  </w:style>
  <w:style w:type="paragraph" w:customStyle="1" w:styleId="15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qFormat/>
    <w:uiPriority w:val="0"/>
    <w:pPr>
      <w:tabs>
        <w:tab w:val="left" w:pos="360"/>
      </w:tabs>
      <w:spacing w:before="120"/>
      <w:ind w:left="360" w:hanging="360"/>
    </w:pPr>
    <w:rPr>
      <w:rFonts w:ascii="宋体"/>
      <w:sz w:val="28"/>
      <w:szCs w:val="20"/>
    </w:rPr>
  </w:style>
  <w:style w:type="paragraph" w:customStyle="1" w:styleId="15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qFormat/>
    <w:uiPriority w:val="0"/>
    <w:rPr>
      <w:rFonts w:ascii="Tahoma" w:hAnsi="Tahoma"/>
      <w:sz w:val="24"/>
      <w:szCs w:val="20"/>
    </w:rPr>
  </w:style>
  <w:style w:type="paragraph" w:customStyle="1" w:styleId="161">
    <w:name w:val="Char Char Char Char Char Char Char Char Char Char"/>
    <w:basedOn w:val="1"/>
    <w:qFormat/>
    <w:uiPriority w:val="0"/>
  </w:style>
  <w:style w:type="paragraph" w:customStyle="1" w:styleId="16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qFormat/>
    <w:uiPriority w:val="0"/>
    <w:pPr>
      <w:tabs>
        <w:tab w:val="left" w:pos="360"/>
      </w:tabs>
    </w:pPr>
    <w:rPr>
      <w:sz w:val="24"/>
    </w:rPr>
  </w:style>
  <w:style w:type="paragraph" w:customStyle="1" w:styleId="164">
    <w:name w:val="正文列项_字母"/>
    <w:basedOn w:val="1"/>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qFormat/>
    <w:uiPriority w:val="0"/>
    <w:rPr>
      <w:rFonts w:ascii="Arial" w:hAnsi="Arial" w:cs="Arial"/>
      <w:szCs w:val="21"/>
    </w:rPr>
  </w:style>
  <w:style w:type="paragraph" w:customStyle="1" w:styleId="16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qFormat/>
    <w:uiPriority w:val="0"/>
    <w:pPr>
      <w:autoSpaceDE w:val="0"/>
      <w:autoSpaceDN w:val="0"/>
      <w:adjustRightInd w:val="0"/>
      <w:jc w:val="left"/>
    </w:pPr>
    <w:rPr>
      <w:kern w:val="0"/>
      <w:sz w:val="24"/>
    </w:rPr>
  </w:style>
  <w:style w:type="paragraph" w:customStyle="1" w:styleId="174">
    <w:name w:val="Char Char Char1"/>
    <w:basedOn w:val="1"/>
    <w:qFormat/>
    <w:uiPriority w:val="0"/>
    <w:rPr>
      <w:rFonts w:ascii="Tahoma" w:hAnsi="Tahoma"/>
      <w:sz w:val="24"/>
      <w:szCs w:val="20"/>
    </w:rPr>
  </w:style>
  <w:style w:type="paragraph" w:customStyle="1" w:styleId="17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40"/>
    <w:qFormat/>
    <w:uiPriority w:val="0"/>
    <w:pPr>
      <w:spacing w:line="360" w:lineRule="auto"/>
      <w:jc w:val="center"/>
    </w:pPr>
    <w:rPr>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qFormat/>
    <w:uiPriority w:val="0"/>
    <w:pPr>
      <w:widowControl/>
      <w:jc w:val="left"/>
    </w:pPr>
    <w:rPr>
      <w:rFonts w:ascii="楷体_GB2312" w:eastAsia="楷体_GB2312" w:cs="Arial"/>
      <w:kern w:val="0"/>
      <w:sz w:val="24"/>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qFormat/>
    <w:uiPriority w:val="0"/>
    <w:rPr>
      <w:rFonts w:ascii="Tahoma" w:hAnsi="Tahoma"/>
      <w:sz w:val="24"/>
      <w:szCs w:val="20"/>
    </w:rPr>
  </w:style>
  <w:style w:type="paragraph" w:customStyle="1" w:styleId="18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字元 字元1"/>
    <w:basedOn w:val="1"/>
    <w:qFormat/>
    <w:uiPriority w:val="0"/>
    <w:rPr>
      <w:rFonts w:ascii="Tahoma" w:hAnsi="Tahoma"/>
      <w:sz w:val="24"/>
      <w:szCs w:val="20"/>
    </w:rPr>
  </w:style>
  <w:style w:type="paragraph" w:customStyle="1" w:styleId="186">
    <w:name w:val="_Style 160"/>
    <w:qFormat/>
    <w:uiPriority w:val="0"/>
    <w:rPr>
      <w:rFonts w:ascii="Times New Roman" w:hAnsi="Times New Roman" w:eastAsia="宋体" w:cs="Times New Roman"/>
      <w:kern w:val="2"/>
      <w:sz w:val="21"/>
      <w:szCs w:val="24"/>
      <w:lang w:val="en-US" w:eastAsia="zh-CN" w:bidi="ar-SA"/>
    </w:rPr>
  </w:style>
  <w:style w:type="paragraph" w:customStyle="1" w:styleId="187">
    <w:name w:val="项目编号3"/>
    <w:basedOn w:val="148"/>
    <w:qFormat/>
    <w:uiPriority w:val="0"/>
    <w:pPr>
      <w:ind w:left="902" w:hanging="420"/>
    </w:pPr>
  </w:style>
  <w:style w:type="paragraph" w:customStyle="1" w:styleId="188">
    <w:name w:val="Char21"/>
    <w:basedOn w:val="1"/>
    <w:qFormat/>
    <w:uiPriority w:val="0"/>
    <w:rPr>
      <w:rFonts w:ascii="Tahoma" w:hAnsi="Tahoma"/>
      <w:sz w:val="24"/>
      <w:szCs w:val="20"/>
    </w:rPr>
  </w:style>
  <w:style w:type="paragraph" w:customStyle="1" w:styleId="189">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90">
    <w:name w:val="Char Char Char Char Char Char Char Char Char Char1"/>
    <w:basedOn w:val="1"/>
    <w:qFormat/>
    <w:uiPriority w:val="0"/>
    <w:rPr>
      <w:rFonts w:ascii="宋体" w:hAnsi="宋体" w:cs="Courier New"/>
      <w:sz w:val="32"/>
      <w:szCs w:val="32"/>
    </w:rPr>
  </w:style>
  <w:style w:type="paragraph" w:customStyle="1" w:styleId="191">
    <w:name w:val="正文文本样式 加粗"/>
    <w:basedOn w:val="148"/>
    <w:qFormat/>
    <w:uiPriority w:val="0"/>
    <w:rPr>
      <w:b/>
    </w:rPr>
  </w:style>
  <w:style w:type="paragraph" w:customStyle="1" w:styleId="192">
    <w:name w:val="Char2 Char Char Char Char Char Char"/>
    <w:basedOn w:val="1"/>
    <w:qFormat/>
    <w:uiPriority w:val="0"/>
    <w:pPr>
      <w:widowControl/>
      <w:spacing w:line="400" w:lineRule="exact"/>
      <w:jc w:val="center"/>
    </w:pPr>
  </w:style>
  <w:style w:type="paragraph" w:customStyle="1" w:styleId="193">
    <w:name w:val="Char Char4"/>
    <w:basedOn w:val="1"/>
    <w:qFormat/>
    <w:uiPriority w:val="0"/>
    <w:pPr>
      <w:widowControl/>
      <w:spacing w:line="400" w:lineRule="exact"/>
      <w:jc w:val="center"/>
    </w:pPr>
  </w:style>
  <w:style w:type="paragraph" w:customStyle="1" w:styleId="194">
    <w:name w:val="Char3 Char Char Char1"/>
    <w:basedOn w:val="1"/>
    <w:qFormat/>
    <w:uiPriority w:val="0"/>
    <w:rPr>
      <w:rFonts w:ascii="Tahoma" w:hAnsi="Tahoma"/>
      <w:sz w:val="24"/>
      <w:szCs w:val="20"/>
    </w:rPr>
  </w:style>
  <w:style w:type="paragraph" w:styleId="19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7">
    <w:name w:val="中等深浅网格 1 - 强调文字颜色 2 Char"/>
    <w:link w:val="198"/>
    <w:qFormat/>
    <w:uiPriority w:val="0"/>
    <w:rPr>
      <w:kern w:val="2"/>
      <w:sz w:val="21"/>
      <w:szCs w:val="24"/>
      <w:lang w:val="zh-CN" w:eastAsia="zh-CN"/>
    </w:rPr>
  </w:style>
  <w:style w:type="paragraph" w:customStyle="1" w:styleId="198">
    <w:name w:val="1"/>
    <w:link w:val="197"/>
    <w:qFormat/>
    <w:uiPriority w:val="0"/>
    <w:rPr>
      <w:rFonts w:ascii="Times New Roman" w:hAnsi="Times New Roman" w:eastAsia="宋体" w:cs="Times New Roman"/>
      <w:kern w:val="2"/>
      <w:sz w:val="21"/>
      <w:szCs w:val="24"/>
      <w:lang w:val="zh-CN" w:eastAsia="zh-CN" w:bidi="ar-SA"/>
    </w:rPr>
  </w:style>
  <w:style w:type="paragraph" w:customStyle="1" w:styleId="199">
    <w:name w:val="图文"/>
    <w:basedOn w:val="1"/>
    <w:qFormat/>
    <w:uiPriority w:val="0"/>
    <w:pPr>
      <w:adjustRightInd w:val="0"/>
      <w:snapToGrid w:val="0"/>
      <w:spacing w:after="50" w:line="360" w:lineRule="auto"/>
    </w:pPr>
    <w:rPr>
      <w:sz w:val="24"/>
    </w:rPr>
  </w:style>
  <w:style w:type="paragraph" w:customStyle="1" w:styleId="20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1">
    <w:name w:val="正文表格"/>
    <w:basedOn w:val="1"/>
    <w:link w:val="202"/>
    <w:qFormat/>
    <w:uiPriority w:val="0"/>
    <w:pPr>
      <w:adjustRightInd w:val="0"/>
      <w:snapToGrid w:val="0"/>
      <w:jc w:val="left"/>
    </w:pPr>
    <w:rPr>
      <w:rFonts w:ascii="宋体" w:hAnsi="宋体"/>
      <w:color w:val="000000"/>
      <w:szCs w:val="21"/>
    </w:rPr>
  </w:style>
  <w:style w:type="character" w:customStyle="1" w:styleId="202">
    <w:name w:val="正文表格 Char"/>
    <w:link w:val="201"/>
    <w:qFormat/>
    <w:uiPriority w:val="0"/>
    <w:rPr>
      <w:rFonts w:ascii="宋体" w:hAnsi="宋体"/>
      <w:color w:val="000000"/>
      <w:kern w:val="2"/>
      <w:sz w:val="21"/>
      <w:szCs w:val="21"/>
    </w:rPr>
  </w:style>
  <w:style w:type="paragraph" w:customStyle="1" w:styleId="203">
    <w:name w:val="正文重点"/>
    <w:basedOn w:val="1"/>
    <w:link w:val="204"/>
    <w:qFormat/>
    <w:uiPriority w:val="0"/>
    <w:pPr>
      <w:adjustRightInd w:val="0"/>
      <w:spacing w:line="360" w:lineRule="auto"/>
      <w:ind w:firstLine="482" w:firstLineChars="200"/>
      <w:jc w:val="left"/>
      <w:textAlignment w:val="baseline"/>
    </w:pPr>
    <w:rPr>
      <w:b/>
      <w:kern w:val="0"/>
      <w:sz w:val="24"/>
      <w:szCs w:val="20"/>
    </w:rPr>
  </w:style>
  <w:style w:type="character" w:customStyle="1" w:styleId="204">
    <w:name w:val="正文重点 Char"/>
    <w:link w:val="203"/>
    <w:qFormat/>
    <w:uiPriority w:val="0"/>
    <w:rPr>
      <w:b/>
      <w:sz w:val="24"/>
    </w:rPr>
  </w:style>
  <w:style w:type="paragraph" w:customStyle="1" w:styleId="205">
    <w:name w:val="标题1-附件"/>
    <w:basedOn w:val="3"/>
    <w:qFormat/>
    <w:uiPriority w:val="0"/>
    <w:pPr>
      <w:jc w:val="left"/>
    </w:pPr>
    <w:rPr>
      <w:sz w:val="24"/>
      <w:szCs w:val="24"/>
    </w:rPr>
  </w:style>
  <w:style w:type="paragraph" w:customStyle="1" w:styleId="206">
    <w:name w:val="正文小标题"/>
    <w:basedOn w:val="1"/>
    <w:next w:val="5"/>
    <w:link w:val="20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7">
    <w:name w:val="正文小标题 Char"/>
    <w:link w:val="206"/>
    <w:qFormat/>
    <w:uiPriority w:val="0"/>
    <w:rPr>
      <w:rFonts w:ascii="宋体" w:hAnsi="宋体"/>
      <w:b/>
      <w:i/>
      <w:color w:val="FF0000"/>
      <w:kern w:val="2"/>
      <w:sz w:val="24"/>
    </w:rPr>
  </w:style>
  <w:style w:type="paragraph" w:customStyle="1" w:styleId="208">
    <w:name w:val="正文大标题"/>
    <w:basedOn w:val="206"/>
    <w:next w:val="5"/>
    <w:link w:val="209"/>
    <w:qFormat/>
    <w:uiPriority w:val="0"/>
    <w:pPr>
      <w:jc w:val="center"/>
    </w:pPr>
    <w:rPr>
      <w:i w:val="0"/>
      <w:color w:val="000000"/>
      <w:sz w:val="28"/>
      <w:szCs w:val="21"/>
    </w:rPr>
  </w:style>
  <w:style w:type="character" w:customStyle="1" w:styleId="209">
    <w:name w:val="正文大标题 Char"/>
    <w:link w:val="208"/>
    <w:qFormat/>
    <w:uiPriority w:val="0"/>
    <w:rPr>
      <w:rFonts w:ascii="宋体" w:hAnsi="宋体"/>
      <w:b/>
      <w:color w:val="000000"/>
      <w:kern w:val="2"/>
      <w:sz w:val="28"/>
      <w:szCs w:val="21"/>
    </w:rPr>
  </w:style>
  <w:style w:type="paragraph" w:customStyle="1" w:styleId="210">
    <w:name w:val="注释"/>
    <w:basedOn w:val="1"/>
    <w:link w:val="211"/>
    <w:qFormat/>
    <w:uiPriority w:val="0"/>
    <w:pPr>
      <w:adjustRightInd w:val="0"/>
      <w:snapToGrid w:val="0"/>
      <w:ind w:left="420" w:hanging="420" w:hangingChars="200"/>
      <w:jc w:val="left"/>
    </w:pPr>
    <w:rPr>
      <w:rFonts w:ascii="宋体" w:hAnsi="宋体"/>
      <w:szCs w:val="21"/>
    </w:rPr>
  </w:style>
  <w:style w:type="character" w:customStyle="1" w:styleId="211">
    <w:name w:val="注释 Char"/>
    <w:link w:val="210"/>
    <w:qFormat/>
    <w:uiPriority w:val="0"/>
    <w:rPr>
      <w:rFonts w:ascii="宋体" w:hAnsi="宋体"/>
      <w:kern w:val="2"/>
      <w:sz w:val="21"/>
      <w:szCs w:val="21"/>
    </w:rPr>
  </w:style>
  <w:style w:type="paragraph" w:customStyle="1" w:styleId="212">
    <w:name w:val="正文须知-1级"/>
    <w:basedOn w:val="1"/>
    <w:next w:val="1"/>
    <w:qFormat/>
    <w:uiPriority w:val="0"/>
    <w:pPr>
      <w:adjustRightInd w:val="0"/>
      <w:snapToGrid w:val="0"/>
      <w:spacing w:line="300" w:lineRule="auto"/>
      <w:ind w:left="680" w:hanging="680"/>
    </w:pPr>
    <w:rPr>
      <w:rFonts w:ascii="宋体" w:hAnsi="Calibri"/>
      <w:sz w:val="24"/>
      <w:szCs w:val="21"/>
    </w:rPr>
  </w:style>
  <w:style w:type="paragraph" w:customStyle="1" w:styleId="213">
    <w:name w:val="正文须知-2级"/>
    <w:basedOn w:val="1"/>
    <w:qFormat/>
    <w:uiPriority w:val="0"/>
    <w:pPr>
      <w:adjustRightInd w:val="0"/>
      <w:snapToGrid w:val="0"/>
      <w:spacing w:line="300" w:lineRule="auto"/>
      <w:ind w:left="851" w:hanging="851"/>
    </w:pPr>
    <w:rPr>
      <w:rFonts w:ascii="宋体" w:hAnsi="Calibri"/>
      <w:sz w:val="24"/>
      <w:szCs w:val="21"/>
    </w:rPr>
  </w:style>
  <w:style w:type="paragraph" w:customStyle="1" w:styleId="214">
    <w:name w:val="正文须知-3级"/>
    <w:basedOn w:val="1"/>
    <w:qFormat/>
    <w:uiPriority w:val="0"/>
    <w:pPr>
      <w:adjustRightInd w:val="0"/>
      <w:snapToGrid w:val="0"/>
      <w:spacing w:line="300" w:lineRule="auto"/>
      <w:ind w:left="851" w:hanging="355" w:hangingChars="355"/>
    </w:pPr>
    <w:rPr>
      <w:rFonts w:ascii="宋体" w:hAnsi="Calibri"/>
      <w:sz w:val="24"/>
      <w:szCs w:val="21"/>
    </w:rPr>
  </w:style>
  <w:style w:type="character" w:customStyle="1" w:styleId="215">
    <w:name w:val="纯文本 字符"/>
    <w:qFormat/>
    <w:uiPriority w:val="99"/>
    <w:rPr>
      <w:rFonts w:ascii="宋体" w:hAnsi="Courier New" w:eastAsia="宋体" w:cs="Times New Roman"/>
      <w:kern w:val="2"/>
      <w:sz w:val="21"/>
      <w:szCs w:val="21"/>
      <w:lang w:val="en-US" w:eastAsia="zh-CN" w:bidi="ar-SA"/>
    </w:rPr>
  </w:style>
  <w:style w:type="paragraph" w:customStyle="1" w:styleId="216">
    <w:name w:val="表格1"/>
    <w:basedOn w:val="1"/>
    <w:qFormat/>
    <w:uiPriority w:val="0"/>
    <w:pPr>
      <w:ind w:firstLine="480" w:firstLineChars="200"/>
      <w:jc w:val="center"/>
    </w:pPr>
    <w:rPr>
      <w:sz w:val="24"/>
      <w:szCs w:val="20"/>
    </w:rPr>
  </w:style>
  <w:style w:type="character" w:customStyle="1" w:styleId="217">
    <w:name w:val="纯文本 字符1"/>
    <w:qFormat/>
    <w:uiPriority w:val="0"/>
    <w:rPr>
      <w:rFonts w:ascii="宋体" w:hAnsi="Courier New"/>
    </w:rPr>
  </w:style>
  <w:style w:type="character" w:customStyle="1" w:styleId="218">
    <w:name w:val="bjh-p"/>
    <w:qFormat/>
    <w:uiPriority w:val="0"/>
  </w:style>
  <w:style w:type="paragraph" w:customStyle="1" w:styleId="21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0">
    <w:name w:val="正文格式 Char"/>
    <w:link w:val="221"/>
    <w:qFormat/>
    <w:locked/>
    <w:uiPriority w:val="0"/>
    <w:rPr>
      <w:rFonts w:ascii="宋体" w:hAnsi="宋体"/>
      <w:sz w:val="24"/>
      <w:szCs w:val="24"/>
      <w:lang w:val="en-GB"/>
    </w:rPr>
  </w:style>
  <w:style w:type="paragraph" w:customStyle="1" w:styleId="221">
    <w:name w:val="正文格式"/>
    <w:basedOn w:val="1"/>
    <w:link w:val="220"/>
    <w:qFormat/>
    <w:uiPriority w:val="0"/>
    <w:pPr>
      <w:spacing w:beforeLines="50" w:line="360" w:lineRule="auto"/>
      <w:ind w:firstLine="480" w:firstLineChars="200"/>
    </w:pPr>
    <w:rPr>
      <w:rFonts w:ascii="宋体" w:hAnsi="宋体"/>
      <w:kern w:val="0"/>
      <w:sz w:val="24"/>
      <w:lang w:val="en-GB"/>
    </w:rPr>
  </w:style>
  <w:style w:type="character" w:customStyle="1" w:styleId="222">
    <w:name w:val="标题 3 Char"/>
    <w:qFormat/>
    <w:uiPriority w:val="0"/>
    <w:rPr>
      <w:rFonts w:ascii="宋体" w:eastAsia="宋体"/>
      <w:b/>
      <w:sz w:val="24"/>
      <w:u w:val="single"/>
      <w:lang w:val="en-US" w:eastAsia="zh-CN" w:bidi="ar-SA"/>
    </w:rPr>
  </w:style>
  <w:style w:type="character" w:customStyle="1" w:styleId="223">
    <w:name w:val="正文缩进 Char"/>
    <w:qFormat/>
    <w:uiPriority w:val="0"/>
    <w:rPr>
      <w:rFonts w:ascii="宋体" w:eastAsia="宋体"/>
      <w:kern w:val="2"/>
      <w:sz w:val="24"/>
      <w:szCs w:val="24"/>
      <w:lang w:val="en-US" w:eastAsia="zh-CN" w:bidi="ar-SA"/>
    </w:rPr>
  </w:style>
  <w:style w:type="character" w:customStyle="1" w:styleId="224">
    <w:name w:val="Char Char111"/>
    <w:qFormat/>
    <w:uiPriority w:val="0"/>
    <w:rPr>
      <w:rFonts w:ascii="宋体" w:eastAsia="宋体"/>
      <w:b/>
      <w:sz w:val="24"/>
      <w:u w:val="single"/>
      <w:lang w:val="en-US" w:eastAsia="zh-CN" w:bidi="ar-SA"/>
    </w:rPr>
  </w:style>
  <w:style w:type="character" w:customStyle="1" w:styleId="225">
    <w:name w:val="正文文本缩进 Char"/>
    <w:qFormat/>
    <w:uiPriority w:val="0"/>
    <w:rPr>
      <w:rFonts w:eastAsia="宋体"/>
      <w:kern w:val="2"/>
      <w:sz w:val="24"/>
      <w:szCs w:val="24"/>
      <w:lang w:val="en-US" w:eastAsia="zh-CN" w:bidi="ar-SA"/>
    </w:rPr>
  </w:style>
  <w:style w:type="character" w:customStyle="1" w:styleId="226">
    <w:name w:val="列出段落 Char"/>
    <w:qFormat/>
    <w:uiPriority w:val="0"/>
    <w:rPr>
      <w:rFonts w:ascii="Calibri" w:hAnsi="Calibri" w:eastAsia="宋体"/>
      <w:kern w:val="2"/>
      <w:sz w:val="21"/>
      <w:szCs w:val="22"/>
      <w:lang w:val="en-US" w:eastAsia="zh-CN" w:bidi="ar-SA"/>
    </w:rPr>
  </w:style>
  <w:style w:type="character" w:customStyle="1" w:styleId="227">
    <w:name w:val="页眉 Char"/>
    <w:qFormat/>
    <w:uiPriority w:val="0"/>
    <w:rPr>
      <w:rFonts w:eastAsia="宋体"/>
      <w:kern w:val="2"/>
      <w:sz w:val="18"/>
      <w:szCs w:val="18"/>
      <w:lang w:val="en-US" w:eastAsia="zh-CN" w:bidi="ar-SA"/>
    </w:rPr>
  </w:style>
  <w:style w:type="character" w:customStyle="1" w:styleId="228">
    <w:name w:val="标题 2 Char"/>
    <w:qFormat/>
    <w:uiPriority w:val="0"/>
    <w:rPr>
      <w:rFonts w:ascii="Arial" w:hAnsi="Arial" w:eastAsia="黑体"/>
      <w:b/>
      <w:sz w:val="30"/>
      <w:lang w:val="en-US" w:eastAsia="zh-CN" w:bidi="ar-SA"/>
    </w:rPr>
  </w:style>
  <w:style w:type="paragraph" w:customStyle="1" w:styleId="229">
    <w:name w:val="字元 字元2"/>
    <w:basedOn w:val="1"/>
    <w:qFormat/>
    <w:uiPriority w:val="0"/>
    <w:rPr>
      <w:rFonts w:ascii="Tahoma" w:hAnsi="Tahoma"/>
      <w:sz w:val="24"/>
      <w:szCs w:val="20"/>
    </w:rPr>
  </w:style>
  <w:style w:type="paragraph" w:customStyle="1" w:styleId="230">
    <w:name w:val="Char3 Char Char Char2"/>
    <w:basedOn w:val="1"/>
    <w:qFormat/>
    <w:uiPriority w:val="0"/>
    <w:rPr>
      <w:rFonts w:ascii="Tahoma" w:hAnsi="Tahoma"/>
      <w:sz w:val="24"/>
      <w:szCs w:val="20"/>
    </w:rPr>
  </w:style>
  <w:style w:type="paragraph" w:customStyle="1" w:styleId="231">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2">
    <w:name w:val="Char3"/>
    <w:basedOn w:val="1"/>
    <w:qFormat/>
    <w:uiPriority w:val="0"/>
    <w:pPr>
      <w:tabs>
        <w:tab w:val="left" w:pos="360"/>
      </w:tabs>
    </w:pPr>
    <w:rPr>
      <w:sz w:val="24"/>
    </w:rPr>
  </w:style>
  <w:style w:type="paragraph" w:customStyle="1" w:styleId="23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列出段落2"/>
    <w:basedOn w:val="1"/>
    <w:qFormat/>
    <w:uiPriority w:val="0"/>
    <w:pPr>
      <w:ind w:firstLine="420" w:firstLineChars="200"/>
    </w:pPr>
    <w:rPr>
      <w:rFonts w:ascii="Calibri" w:hAnsi="Calibri"/>
      <w:szCs w:val="22"/>
    </w:rPr>
  </w:style>
  <w:style w:type="paragraph" w:customStyle="1" w:styleId="236">
    <w:name w:val="Char Char Char1 Char2"/>
    <w:basedOn w:val="1"/>
    <w:qFormat/>
    <w:uiPriority w:val="0"/>
    <w:rPr>
      <w:rFonts w:ascii="Tahoma" w:hAnsi="Tahoma"/>
      <w:sz w:val="24"/>
      <w:szCs w:val="20"/>
    </w:rPr>
  </w:style>
  <w:style w:type="paragraph" w:customStyle="1" w:styleId="237">
    <w:name w:val="Char Char Char2"/>
    <w:basedOn w:val="1"/>
    <w:qFormat/>
    <w:uiPriority w:val="0"/>
    <w:rPr>
      <w:rFonts w:ascii="Tahoma" w:hAnsi="Tahoma"/>
      <w:sz w:val="24"/>
      <w:szCs w:val="20"/>
    </w:rPr>
  </w:style>
  <w:style w:type="paragraph" w:customStyle="1" w:styleId="23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0">
    <w:name w:val="修订1"/>
    <w:qFormat/>
    <w:uiPriority w:val="0"/>
    <w:rPr>
      <w:rFonts w:ascii="Times New Roman" w:hAnsi="Times New Roman" w:eastAsia="宋体" w:cs="Times New Roman"/>
      <w:kern w:val="2"/>
      <w:sz w:val="21"/>
      <w:szCs w:val="24"/>
      <w:lang w:val="en-US" w:eastAsia="zh-CN" w:bidi="ar-SA"/>
    </w:rPr>
  </w:style>
  <w:style w:type="paragraph" w:customStyle="1" w:styleId="241">
    <w:name w:val="Char22"/>
    <w:basedOn w:val="1"/>
    <w:qFormat/>
    <w:uiPriority w:val="0"/>
    <w:rPr>
      <w:rFonts w:ascii="Tahoma" w:hAnsi="Tahoma"/>
      <w:sz w:val="24"/>
      <w:szCs w:val="20"/>
    </w:rPr>
  </w:style>
  <w:style w:type="paragraph" w:customStyle="1" w:styleId="242">
    <w:name w:val="Char Char Char Char Char Char Char Char Char Char2"/>
    <w:basedOn w:val="1"/>
    <w:qFormat/>
    <w:uiPriority w:val="0"/>
    <w:rPr>
      <w:rFonts w:ascii="宋体" w:hAnsi="宋体" w:cs="Courier New"/>
      <w:sz w:val="32"/>
      <w:szCs w:val="32"/>
    </w:rPr>
  </w:style>
  <w:style w:type="paragraph" w:customStyle="1" w:styleId="243">
    <w:name w:val="Char2 Char Char Char Char Char Char1"/>
    <w:basedOn w:val="1"/>
    <w:qFormat/>
    <w:uiPriority w:val="0"/>
    <w:pPr>
      <w:widowControl/>
      <w:spacing w:line="400" w:lineRule="exact"/>
      <w:jc w:val="center"/>
    </w:pPr>
  </w:style>
  <w:style w:type="character" w:customStyle="1" w:styleId="244">
    <w:name w:val="页脚 Char"/>
    <w:qFormat/>
    <w:uiPriority w:val="0"/>
    <w:rPr>
      <w:rFonts w:ascii="宋体" w:eastAsia="宋体"/>
      <w:sz w:val="18"/>
      <w:lang w:val="en-US" w:eastAsia="zh-CN" w:bidi="ar-SA"/>
    </w:rPr>
  </w:style>
  <w:style w:type="paragraph" w:customStyle="1" w:styleId="245">
    <w:name w:val="Char Char41"/>
    <w:basedOn w:val="1"/>
    <w:qFormat/>
    <w:uiPriority w:val="0"/>
    <w:pPr>
      <w:widowControl/>
      <w:spacing w:line="400" w:lineRule="exact"/>
      <w:jc w:val="center"/>
    </w:pPr>
  </w:style>
  <w:style w:type="character" w:customStyle="1" w:styleId="246">
    <w:name w:val="批注文字 Char"/>
    <w:qFormat/>
    <w:uiPriority w:val="99"/>
    <w:rPr>
      <w:kern w:val="2"/>
      <w:sz w:val="21"/>
      <w:szCs w:val="24"/>
    </w:rPr>
  </w:style>
  <w:style w:type="character" w:customStyle="1" w:styleId="247">
    <w:name w:val="标题 Char"/>
    <w:qFormat/>
    <w:uiPriority w:val="0"/>
    <w:rPr>
      <w:b/>
      <w:kern w:val="2"/>
      <w:sz w:val="32"/>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0">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1">
    <w:name w:val="样式 标题 1 + 四号 居中 段前: 12 磅 段后: 12 磅 行距: 单倍行距"/>
    <w:basedOn w:val="3"/>
    <w:qFormat/>
    <w:uiPriority w:val="99"/>
    <w:pPr>
      <w:tabs>
        <w:tab w:val="left" w:pos="900"/>
      </w:tabs>
      <w:autoSpaceDE/>
      <w:autoSpaceDN/>
      <w:spacing w:after="240" w:line="240" w:lineRule="auto"/>
      <w:ind w:left="900" w:hanging="900"/>
      <w:textAlignment w:val="baseline"/>
    </w:pPr>
    <w:rPr>
      <w:rFonts w:ascii="等线" w:hAnsi="等线" w:eastAsia="等线" w:cs="宋体"/>
      <w:bCs/>
      <w:sz w:val="28"/>
    </w:rPr>
  </w:style>
  <w:style w:type="paragraph" w:customStyle="1" w:styleId="25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53">
    <w:name w:val="xl150"/>
    <w:basedOn w:val="1"/>
    <w:qFormat/>
    <w:uiPriority w:val="0"/>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54">
    <w:name w:val="xl151"/>
    <w:basedOn w:val="1"/>
    <w:qFormat/>
    <w:uiPriority w:val="0"/>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55">
    <w:name w:val="xl152"/>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256">
    <w:name w:val="xl15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57">
    <w:name w:val="xl154"/>
    <w:basedOn w:val="1"/>
    <w:qFormat/>
    <w:uiPriority w:val="0"/>
    <w:pPr>
      <w:widowControl/>
      <w:shd w:val="clear" w:color="000000" w:fill="FFFFFF"/>
      <w:spacing w:before="100" w:beforeAutospacing="1" w:after="100" w:afterAutospacing="1"/>
      <w:jc w:val="left"/>
    </w:pPr>
    <w:rPr>
      <w:rFonts w:ascii="宋体" w:hAnsi="宋体" w:cs="宋体"/>
      <w:b/>
      <w:bCs/>
      <w:color w:val="000000"/>
      <w:kern w:val="0"/>
      <w:sz w:val="18"/>
      <w:szCs w:val="18"/>
    </w:rPr>
  </w:style>
  <w:style w:type="paragraph" w:customStyle="1" w:styleId="258">
    <w:name w:val="xl155"/>
    <w:basedOn w:val="1"/>
    <w:qFormat/>
    <w:uiPriority w:val="0"/>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259">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61">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26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63">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65">
    <w:name w:val="xl162"/>
    <w:basedOn w:val="1"/>
    <w:qFormat/>
    <w:uiPriority w:val="0"/>
    <w:pPr>
      <w:widowControl/>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266">
    <w:name w:val="xl16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7">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68">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69">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270">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271">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72">
    <w:name w:val="_Style 271"/>
    <w:unhideWhenUsed/>
    <w:qFormat/>
    <w:uiPriority w:val="99"/>
    <w:rPr>
      <w:rFonts w:ascii="Times New Roman" w:hAnsi="Times New Roman" w:eastAsia="宋体" w:cs="Times New Roman"/>
      <w:kern w:val="2"/>
      <w:sz w:val="21"/>
      <w:szCs w:val="24"/>
      <w:lang w:val="en-US" w:eastAsia="zh-CN" w:bidi="ar-SA"/>
    </w:rPr>
  </w:style>
  <w:style w:type="paragraph" w:customStyle="1" w:styleId="273">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74">
    <w:name w:val="font61"/>
    <w:basedOn w:val="48"/>
    <w:qFormat/>
    <w:uiPriority w:val="0"/>
    <w:rPr>
      <w:rFonts w:hint="eastAsia" w:ascii="宋体" w:hAnsi="宋体" w:eastAsia="宋体" w:cs="宋体"/>
      <w:color w:val="000000"/>
      <w:sz w:val="18"/>
      <w:szCs w:val="18"/>
      <w:u w:val="none"/>
    </w:rPr>
  </w:style>
  <w:style w:type="character" w:customStyle="1" w:styleId="275">
    <w:name w:val="font41"/>
    <w:qFormat/>
    <w:uiPriority w:val="0"/>
    <w:rPr>
      <w:rFonts w:ascii="Calibri" w:hAnsi="Calibri" w:cs="Calibri"/>
      <w:color w:val="000000"/>
      <w:sz w:val="18"/>
      <w:szCs w:val="18"/>
      <w:u w:val="none"/>
    </w:rPr>
  </w:style>
  <w:style w:type="character" w:customStyle="1" w:styleId="276">
    <w:name w:val="font101"/>
    <w:basedOn w:val="48"/>
    <w:qFormat/>
    <w:uiPriority w:val="0"/>
    <w:rPr>
      <w:rFonts w:hint="eastAsia" w:ascii="宋体" w:hAnsi="宋体" w:eastAsia="宋体" w:cs="宋体"/>
      <w:b/>
      <w:bCs/>
      <w:color w:val="000000"/>
      <w:sz w:val="20"/>
      <w:szCs w:val="20"/>
      <w:u w:val="none"/>
    </w:rPr>
  </w:style>
  <w:style w:type="character" w:customStyle="1" w:styleId="277">
    <w:name w:val="font31"/>
    <w:basedOn w:val="48"/>
    <w:qFormat/>
    <w:uiPriority w:val="0"/>
    <w:rPr>
      <w:rFonts w:hint="eastAsia" w:ascii="宋体" w:hAnsi="宋体" w:eastAsia="宋体" w:cs="宋体"/>
      <w:color w:val="000000"/>
      <w:sz w:val="20"/>
      <w:szCs w:val="20"/>
      <w:u w:val="none"/>
    </w:rPr>
  </w:style>
  <w:style w:type="paragraph" w:customStyle="1" w:styleId="278">
    <w:name w:val="正文+缩进"/>
    <w:basedOn w:val="1"/>
    <w:qFormat/>
    <w:uiPriority w:val="0"/>
    <w:pPr>
      <w:ind w:firstLine="200" w:firstLineChars="200"/>
    </w:pPr>
  </w:style>
  <w:style w:type="paragraph" w:customStyle="1" w:styleId="27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99</Pages>
  <Words>52298</Words>
  <Characters>56148</Characters>
  <Lines>442</Lines>
  <Paragraphs>124</Paragraphs>
  <TotalTime>0</TotalTime>
  <ScaleCrop>false</ScaleCrop>
  <LinksUpToDate>false</LinksUpToDate>
  <CharactersWithSpaces>58313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2023-06-15T11:06:00Z</dcterms:created>
  <dc:creator>Yin Hao</dc:creator>
  <cp:lastModifiedBy>Administrator</cp:lastModifiedBy>
  <cp:lastPrinted>2020-04-02T03:13:00Z</cp:lastPrinted>
  <dcterms:modified xsi:type="dcterms:W3CDTF">2023-08-09T06:54:13Z</dcterms:modified>
  <dc:title>02年杜范本稿</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09CF618D8FFC49E993A80CF1FFF1D8D5_13</vt:lpwstr>
  </property>
</Properties>
</file>